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cs="Times New Roman" w:asciiTheme="majorEastAsia" w:hAnsiTheme="majorEastAsia" w:eastAsiaTheme="majorEastAsia"/>
          <w:b/>
          <w:color w:val="auto"/>
          <w:sz w:val="44"/>
          <w:szCs w:val="44"/>
        </w:rPr>
      </w:pPr>
      <w:r>
        <w:rPr>
          <w:rFonts w:hint="eastAsia" w:cs="Times New Roman" w:asciiTheme="majorEastAsia" w:hAnsiTheme="majorEastAsia" w:eastAsiaTheme="majorEastAsia"/>
          <w:b/>
          <w:color w:val="auto"/>
          <w:sz w:val="44"/>
          <w:szCs w:val="44"/>
          <w:lang w:eastAsia="zh-CN"/>
        </w:rPr>
        <w:t>廊坊市</w:t>
      </w:r>
      <w:r>
        <w:rPr>
          <w:rFonts w:hint="eastAsia" w:cs="Times New Roman" w:asciiTheme="majorEastAsia" w:hAnsiTheme="majorEastAsia" w:eastAsiaTheme="majorEastAsia"/>
          <w:b/>
          <w:color w:val="auto"/>
          <w:sz w:val="44"/>
          <w:szCs w:val="44"/>
        </w:rPr>
        <w:t>香河县</w:t>
      </w:r>
      <w:r>
        <w:rPr>
          <w:rFonts w:hint="eastAsia" w:cs="Times New Roman" w:asciiTheme="majorEastAsia" w:hAnsiTheme="majorEastAsia" w:eastAsiaTheme="majorEastAsia"/>
          <w:b/>
          <w:color w:val="auto"/>
          <w:sz w:val="44"/>
          <w:szCs w:val="44"/>
          <w:lang w:eastAsia="zh-CN"/>
        </w:rPr>
        <w:t>国土资源局</w:t>
      </w:r>
      <w:r>
        <w:rPr>
          <w:rFonts w:cs="Times New Roman" w:asciiTheme="majorEastAsia" w:hAnsiTheme="majorEastAsia" w:eastAsiaTheme="majorEastAsia"/>
          <w:b/>
          <w:color w:val="auto"/>
          <w:sz w:val="44"/>
          <w:szCs w:val="44"/>
        </w:rPr>
        <w:t>2017年部门预算公开</w:t>
      </w:r>
    </w:p>
    <w:p>
      <w:pPr>
        <w:ind w:firstLine="883" w:firstLineChars="200"/>
        <w:jc w:val="center"/>
        <w:rPr>
          <w:rFonts w:hint="eastAsia" w:cs="Times New Roman" w:asciiTheme="majorEastAsia" w:hAnsiTheme="majorEastAsia" w:eastAsiaTheme="majorEastAsia"/>
          <w:b/>
          <w:sz w:val="44"/>
          <w:szCs w:val="44"/>
          <w:lang w:val="en-US" w:eastAsia="zh-CN"/>
        </w:rPr>
      </w:pPr>
      <w:r>
        <w:rPr>
          <w:rFonts w:hint="eastAsia" w:cs="Times New Roman" w:asciiTheme="majorEastAsia" w:hAnsiTheme="majorEastAsia" w:eastAsiaTheme="majorEastAsia"/>
          <w:b/>
          <w:sz w:val="44"/>
          <w:szCs w:val="44"/>
          <w:lang w:val="en-US" w:eastAsia="zh-CN"/>
        </w:rPr>
        <w:t xml:space="preserve"> </w:t>
      </w:r>
      <w:bookmarkStart w:id="2" w:name="_GoBack"/>
      <w:bookmarkEnd w:id="2"/>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按照《预算法》、《地方预决算公开操作规程》和《河北省省级预算公开办法》规定，现将</w:t>
      </w:r>
      <w:r>
        <w:rPr>
          <w:rFonts w:hint="eastAsia" w:ascii="仿宋" w:hAnsi="仿宋" w:eastAsia="仿宋" w:cs="仿宋"/>
          <w:sz w:val="32"/>
          <w:szCs w:val="32"/>
          <w:lang w:eastAsia="zh-CN"/>
        </w:rPr>
        <w:t>河北省廊坊市</w:t>
      </w:r>
      <w:r>
        <w:rPr>
          <w:rFonts w:hint="eastAsia" w:ascii="仿宋" w:hAnsi="仿宋" w:eastAsia="仿宋" w:cs="仿宋"/>
          <w:sz w:val="32"/>
          <w:szCs w:val="32"/>
        </w:rPr>
        <w:t>香河县</w:t>
      </w:r>
      <w:r>
        <w:rPr>
          <w:rFonts w:hint="eastAsia" w:ascii="仿宋" w:hAnsi="仿宋" w:eastAsia="仿宋" w:cs="仿宋"/>
          <w:sz w:val="32"/>
          <w:szCs w:val="32"/>
          <w:lang w:eastAsia="zh-CN"/>
        </w:rPr>
        <w:t>国土资源局</w:t>
      </w:r>
      <w:r>
        <w:rPr>
          <w:rFonts w:hint="eastAsia" w:ascii="仿宋" w:hAnsi="仿宋" w:eastAsia="仿宋" w:cs="仿宋"/>
          <w:sz w:val="32"/>
          <w:szCs w:val="32"/>
        </w:rPr>
        <w:t>2017年部门预算公开如下：</w:t>
      </w:r>
    </w:p>
    <w:p>
      <w:pPr>
        <w:ind w:firstLine="640"/>
        <w:rPr>
          <w:rFonts w:hint="eastAsia" w:ascii="宋体" w:hAnsi="宋体" w:eastAsia="宋体" w:cs="宋体"/>
          <w:b/>
          <w:bCs/>
          <w:sz w:val="32"/>
          <w:szCs w:val="32"/>
        </w:rPr>
      </w:pPr>
      <w:r>
        <w:rPr>
          <w:rFonts w:hint="eastAsia" w:ascii="宋体" w:hAnsi="宋体" w:eastAsia="宋体" w:cs="宋体"/>
          <w:b/>
          <w:bCs/>
          <w:sz w:val="32"/>
          <w:szCs w:val="32"/>
        </w:rPr>
        <w:t>一、部门职责及机构设置情况</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部门职责：</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（一）、</w:t>
      </w:r>
      <w:r>
        <w:rPr>
          <w:rFonts w:hint="eastAsia" w:ascii="仿宋" w:hAnsi="仿宋" w:eastAsia="仿宋" w:cs="仿宋"/>
          <w:sz w:val="32"/>
          <w:szCs w:val="32"/>
        </w:rPr>
        <w:t>负责县域内土地管理法律、法规、地质矿产资源管理法律、法规的宣传、贯彻、实施。</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（二）、</w:t>
      </w:r>
      <w:r>
        <w:rPr>
          <w:rFonts w:hint="eastAsia" w:ascii="仿宋" w:hAnsi="仿宋" w:eastAsia="仿宋" w:cs="仿宋"/>
          <w:sz w:val="32"/>
          <w:szCs w:val="32"/>
        </w:rPr>
        <w:t>负责县域内土地利用总体规划、土地利用和保护、地籍管理及土地权属登记、发证管理工作。</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（三）、</w:t>
      </w:r>
      <w:r>
        <w:rPr>
          <w:rFonts w:hint="eastAsia" w:ascii="仿宋" w:hAnsi="仿宋" w:eastAsia="仿宋" w:cs="仿宋"/>
          <w:sz w:val="32"/>
          <w:szCs w:val="32"/>
        </w:rPr>
        <w:t>负责县域内建设用地的审核、呈报及管理工作。</w:t>
      </w:r>
      <w:r>
        <w:rPr>
          <w:rFonts w:hint="eastAsia" w:ascii="仿宋" w:hAnsi="仿宋" w:eastAsia="仿宋" w:cs="仿宋"/>
          <w:sz w:val="32"/>
          <w:szCs w:val="32"/>
          <w:lang w:val="en-US" w:eastAsia="zh-CN"/>
        </w:rPr>
        <w:t xml:space="preserve"> </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（四）、</w:t>
      </w:r>
      <w:r>
        <w:rPr>
          <w:rFonts w:hint="eastAsia" w:ascii="仿宋" w:hAnsi="仿宋" w:eastAsia="仿宋" w:cs="仿宋"/>
          <w:sz w:val="32"/>
          <w:szCs w:val="32"/>
        </w:rPr>
        <w:t>负责县域内土地执法监察和违法用地查处工作。</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（五）、</w:t>
      </w:r>
      <w:r>
        <w:rPr>
          <w:rFonts w:hint="eastAsia" w:ascii="仿宋" w:hAnsi="仿宋" w:eastAsia="仿宋" w:cs="仿宋"/>
          <w:sz w:val="32"/>
          <w:szCs w:val="32"/>
        </w:rPr>
        <w:t>负责县域内地质矿产资源管理工作。</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（六）、</w:t>
      </w:r>
      <w:r>
        <w:rPr>
          <w:rFonts w:hint="eastAsia" w:ascii="仿宋" w:hAnsi="仿宋" w:eastAsia="仿宋" w:cs="仿宋"/>
          <w:sz w:val="32"/>
          <w:szCs w:val="32"/>
        </w:rPr>
        <w:t>负责县域内土地二、三级市场管理工作。</w:t>
      </w:r>
    </w:p>
    <w:p>
      <w:pPr>
        <w:rPr>
          <w:rFonts w:ascii="仿宋" w:hAnsi="仿宋" w:eastAsia="仿宋" w:cs="Times New Roman"/>
          <w:sz w:val="32"/>
          <w:szCs w:val="32"/>
        </w:rPr>
      </w:pP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机构设置：</w:t>
      </w:r>
    </w:p>
    <w:p>
      <w:pPr>
        <w:jc w:val="left"/>
        <w:outlineLvl w:val="0"/>
        <w:rPr>
          <w:rFonts w:hint="eastAsia" w:ascii="仿宋" w:hAnsi="仿宋" w:eastAsia="仿宋" w:cs="仿宋"/>
          <w:sz w:val="32"/>
          <w:szCs w:val="24"/>
        </w:rPr>
      </w:pPr>
    </w:p>
    <w:p>
      <w:pPr>
        <w:jc w:val="center"/>
        <w:outlineLvl w:val="0"/>
        <w:rPr>
          <w:rFonts w:hint="eastAsia" w:ascii="仿宋" w:hAnsi="仿宋" w:eastAsia="仿宋" w:cs="仿宋"/>
          <w:sz w:val="32"/>
          <w:szCs w:val="24"/>
        </w:rPr>
      </w:pPr>
      <w:r>
        <w:rPr>
          <w:rFonts w:hint="eastAsia" w:ascii="仿宋" w:hAnsi="仿宋" w:eastAsia="仿宋" w:cs="仿宋"/>
          <w:sz w:val="32"/>
          <w:szCs w:val="24"/>
        </w:rPr>
        <w:t>部门机构设置情况</w:t>
      </w:r>
    </w:p>
    <w:tbl>
      <w:tblPr>
        <w:tblStyle w:val="7"/>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hint="eastAsia" w:ascii="仿宋" w:hAnsi="仿宋" w:eastAsia="仿宋" w:cs="仿宋"/>
                <w:b/>
                <w:szCs w:val="24"/>
              </w:rPr>
            </w:pPr>
            <w:r>
              <w:rPr>
                <w:rFonts w:hint="eastAsia" w:ascii="仿宋" w:hAnsi="仿宋" w:eastAsia="仿宋" w:cs="仿宋"/>
                <w:b/>
                <w:szCs w:val="24"/>
              </w:rPr>
              <w:t>单位名称</w:t>
            </w:r>
          </w:p>
        </w:tc>
        <w:tc>
          <w:tcPr>
            <w:tcW w:w="1134" w:type="dxa"/>
            <w:vMerge w:val="restart"/>
            <w:shd w:val="clear" w:color="auto" w:fill="auto"/>
            <w:vAlign w:val="center"/>
          </w:tcPr>
          <w:p>
            <w:pPr>
              <w:spacing w:line="300" w:lineRule="exact"/>
              <w:jc w:val="center"/>
              <w:rPr>
                <w:rFonts w:hint="eastAsia" w:ascii="仿宋" w:hAnsi="仿宋" w:eastAsia="仿宋" w:cs="仿宋"/>
                <w:b/>
                <w:szCs w:val="24"/>
              </w:rPr>
            </w:pPr>
            <w:r>
              <w:rPr>
                <w:rFonts w:hint="eastAsia" w:ascii="仿宋" w:hAnsi="仿宋" w:eastAsia="仿宋" w:cs="仿宋"/>
                <w:b/>
                <w:szCs w:val="24"/>
              </w:rPr>
              <w:t>单位性质</w:t>
            </w:r>
          </w:p>
        </w:tc>
        <w:tc>
          <w:tcPr>
            <w:tcW w:w="1276" w:type="dxa"/>
            <w:vMerge w:val="restart"/>
            <w:shd w:val="clear" w:color="auto" w:fill="auto"/>
            <w:vAlign w:val="center"/>
          </w:tcPr>
          <w:p>
            <w:pPr>
              <w:spacing w:line="300" w:lineRule="exact"/>
              <w:jc w:val="center"/>
              <w:rPr>
                <w:rFonts w:hint="eastAsia" w:ascii="仿宋" w:hAnsi="仿宋" w:eastAsia="仿宋" w:cs="仿宋"/>
                <w:b/>
                <w:szCs w:val="24"/>
              </w:rPr>
            </w:pPr>
            <w:r>
              <w:rPr>
                <w:rFonts w:hint="eastAsia" w:ascii="仿宋" w:hAnsi="仿宋" w:eastAsia="仿宋" w:cs="仿宋"/>
                <w:b/>
                <w:szCs w:val="24"/>
              </w:rPr>
              <w:t>单位规格</w:t>
            </w:r>
          </w:p>
        </w:tc>
        <w:tc>
          <w:tcPr>
            <w:tcW w:w="2902" w:type="dxa"/>
            <w:vMerge w:val="restart"/>
            <w:shd w:val="clear" w:color="auto" w:fill="auto"/>
            <w:vAlign w:val="center"/>
          </w:tcPr>
          <w:p>
            <w:pPr>
              <w:spacing w:line="300" w:lineRule="exact"/>
              <w:jc w:val="center"/>
              <w:rPr>
                <w:rFonts w:hint="eastAsia" w:ascii="仿宋" w:hAnsi="仿宋" w:eastAsia="仿宋" w:cs="仿宋"/>
                <w:b/>
                <w:szCs w:val="24"/>
              </w:rPr>
            </w:pPr>
            <w:r>
              <w:rPr>
                <w:rFonts w:hint="eastAsia" w:ascii="仿宋" w:hAnsi="仿宋" w:eastAsia="仿宋" w:cs="仿宋"/>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pPr>
              <w:spacing w:line="300" w:lineRule="exact"/>
              <w:jc w:val="left"/>
              <w:outlineLvl w:val="0"/>
              <w:rPr>
                <w:rFonts w:hint="eastAsia" w:ascii="仿宋" w:hAnsi="仿宋" w:eastAsia="仿宋" w:cs="仿宋"/>
                <w:szCs w:val="24"/>
              </w:rPr>
            </w:pPr>
          </w:p>
        </w:tc>
        <w:tc>
          <w:tcPr>
            <w:tcW w:w="1134" w:type="dxa"/>
            <w:vMerge w:val="continue"/>
            <w:shd w:val="clear" w:color="auto" w:fill="auto"/>
            <w:vAlign w:val="center"/>
          </w:tcPr>
          <w:p>
            <w:pPr>
              <w:spacing w:line="300" w:lineRule="exact"/>
              <w:jc w:val="left"/>
              <w:outlineLvl w:val="0"/>
              <w:rPr>
                <w:rFonts w:hint="eastAsia" w:ascii="仿宋" w:hAnsi="仿宋" w:eastAsia="仿宋" w:cs="仿宋"/>
                <w:szCs w:val="24"/>
              </w:rPr>
            </w:pPr>
          </w:p>
        </w:tc>
        <w:tc>
          <w:tcPr>
            <w:tcW w:w="1276" w:type="dxa"/>
            <w:vMerge w:val="continue"/>
            <w:shd w:val="clear" w:color="auto" w:fill="auto"/>
            <w:vAlign w:val="center"/>
          </w:tcPr>
          <w:p>
            <w:pPr>
              <w:spacing w:line="300" w:lineRule="exact"/>
              <w:jc w:val="center"/>
              <w:outlineLvl w:val="0"/>
              <w:rPr>
                <w:rFonts w:hint="eastAsia" w:ascii="仿宋" w:hAnsi="仿宋" w:eastAsia="仿宋" w:cs="仿宋"/>
                <w:szCs w:val="24"/>
              </w:rPr>
            </w:pPr>
          </w:p>
        </w:tc>
        <w:tc>
          <w:tcPr>
            <w:tcW w:w="2902" w:type="dxa"/>
            <w:vMerge w:val="continue"/>
            <w:shd w:val="clear" w:color="auto" w:fill="auto"/>
            <w:vAlign w:val="center"/>
          </w:tcPr>
          <w:p>
            <w:pPr>
              <w:spacing w:line="300" w:lineRule="exact"/>
              <w:jc w:val="left"/>
              <w:outlineLvl w:val="0"/>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hint="eastAsia" w:ascii="仿宋" w:hAnsi="仿宋" w:eastAsia="仿宋" w:cs="仿宋"/>
                <w:szCs w:val="24"/>
                <w:lang w:eastAsia="zh-CN"/>
              </w:rPr>
            </w:pPr>
            <w:r>
              <w:rPr>
                <w:rFonts w:hint="eastAsia" w:ascii="仿宋" w:hAnsi="仿宋" w:eastAsia="仿宋" w:cs="仿宋"/>
                <w:szCs w:val="24"/>
                <w:lang w:eastAsia="zh-CN"/>
              </w:rPr>
              <w:t>香河县国土资源局</w:t>
            </w:r>
          </w:p>
        </w:tc>
        <w:tc>
          <w:tcPr>
            <w:tcW w:w="1134" w:type="dxa"/>
            <w:shd w:val="clear" w:color="auto" w:fill="auto"/>
            <w:vAlign w:val="center"/>
          </w:tcPr>
          <w:p>
            <w:pPr>
              <w:spacing w:line="300" w:lineRule="exact"/>
              <w:jc w:val="left"/>
              <w:rPr>
                <w:rFonts w:hint="eastAsia" w:ascii="仿宋" w:hAnsi="仿宋" w:eastAsia="仿宋" w:cs="仿宋"/>
                <w:szCs w:val="24"/>
                <w:lang w:eastAsia="zh-CN"/>
              </w:rPr>
            </w:pPr>
            <w:r>
              <w:rPr>
                <w:rFonts w:hint="eastAsia" w:ascii="仿宋" w:hAnsi="仿宋" w:eastAsia="仿宋" w:cs="仿宋"/>
                <w:szCs w:val="24"/>
                <w:lang w:eastAsia="zh-CN"/>
              </w:rPr>
              <w:t>事业单位</w:t>
            </w:r>
          </w:p>
        </w:tc>
        <w:tc>
          <w:tcPr>
            <w:tcW w:w="1276" w:type="dxa"/>
            <w:shd w:val="clear" w:color="auto" w:fill="auto"/>
            <w:vAlign w:val="center"/>
          </w:tcPr>
          <w:p>
            <w:pPr>
              <w:spacing w:line="300" w:lineRule="exact"/>
              <w:jc w:val="center"/>
              <w:rPr>
                <w:rFonts w:hint="eastAsia" w:ascii="仿宋" w:hAnsi="仿宋" w:eastAsia="仿宋" w:cs="仿宋"/>
                <w:szCs w:val="24"/>
                <w:lang w:eastAsia="zh-CN"/>
              </w:rPr>
            </w:pPr>
            <w:r>
              <w:rPr>
                <w:rFonts w:hint="eastAsia" w:ascii="仿宋" w:hAnsi="仿宋" w:eastAsia="仿宋" w:cs="仿宋"/>
                <w:szCs w:val="24"/>
                <w:lang w:eastAsia="zh-CN"/>
              </w:rPr>
              <w:t>正科级</w:t>
            </w:r>
          </w:p>
        </w:tc>
        <w:tc>
          <w:tcPr>
            <w:tcW w:w="2902" w:type="dxa"/>
            <w:shd w:val="clear" w:color="auto" w:fill="auto"/>
            <w:vAlign w:val="center"/>
          </w:tcPr>
          <w:p>
            <w:pPr>
              <w:spacing w:line="300" w:lineRule="exact"/>
              <w:jc w:val="left"/>
              <w:rPr>
                <w:rFonts w:hint="eastAsia" w:ascii="仿宋" w:hAnsi="仿宋" w:eastAsia="仿宋" w:cs="仿宋"/>
                <w:szCs w:val="24"/>
                <w:lang w:eastAsia="zh-CN"/>
              </w:rPr>
            </w:pPr>
            <w:r>
              <w:rPr>
                <w:rFonts w:hint="eastAsia" w:ascii="仿宋" w:hAnsi="仿宋" w:eastAsia="仿宋" w:cs="仿宋"/>
                <w:szCs w:val="24"/>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0" w:hRule="atLeast"/>
          <w:jc w:val="center"/>
        </w:trPr>
        <w:tc>
          <w:tcPr>
            <w:tcW w:w="4443" w:type="dxa"/>
            <w:shd w:val="clear" w:color="auto" w:fill="auto"/>
            <w:vAlign w:val="center"/>
          </w:tcPr>
          <w:p>
            <w:pPr>
              <w:spacing w:line="300" w:lineRule="exact"/>
              <w:jc w:val="left"/>
              <w:rPr>
                <w:rFonts w:hint="eastAsia" w:ascii="仿宋" w:hAnsi="仿宋" w:eastAsia="仿宋" w:cs="仿宋"/>
                <w:szCs w:val="24"/>
              </w:rPr>
            </w:pPr>
          </w:p>
        </w:tc>
        <w:tc>
          <w:tcPr>
            <w:tcW w:w="1134" w:type="dxa"/>
            <w:shd w:val="clear" w:color="auto" w:fill="auto"/>
            <w:vAlign w:val="center"/>
          </w:tcPr>
          <w:p>
            <w:pPr>
              <w:spacing w:line="300" w:lineRule="exact"/>
              <w:jc w:val="left"/>
              <w:rPr>
                <w:rFonts w:hint="eastAsia" w:ascii="仿宋" w:hAnsi="仿宋" w:eastAsia="仿宋" w:cs="仿宋"/>
                <w:szCs w:val="24"/>
              </w:rPr>
            </w:pPr>
          </w:p>
        </w:tc>
        <w:tc>
          <w:tcPr>
            <w:tcW w:w="1276" w:type="dxa"/>
            <w:shd w:val="clear" w:color="auto" w:fill="auto"/>
            <w:vAlign w:val="center"/>
          </w:tcPr>
          <w:p>
            <w:pPr>
              <w:spacing w:line="300" w:lineRule="exact"/>
              <w:jc w:val="left"/>
              <w:rPr>
                <w:rFonts w:hint="eastAsia" w:ascii="仿宋" w:hAnsi="仿宋" w:eastAsia="仿宋" w:cs="仿宋"/>
                <w:szCs w:val="24"/>
              </w:rPr>
            </w:pPr>
          </w:p>
        </w:tc>
        <w:tc>
          <w:tcPr>
            <w:tcW w:w="2902" w:type="dxa"/>
            <w:shd w:val="clear" w:color="auto" w:fill="auto"/>
            <w:vAlign w:val="center"/>
          </w:tcPr>
          <w:p>
            <w:pPr>
              <w:spacing w:line="300" w:lineRule="exact"/>
              <w:jc w:val="lef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 w:hAnsi="仿宋" w:eastAsia="仿宋" w:cs="仿宋"/>
                <w:szCs w:val="24"/>
              </w:rPr>
            </w:pPr>
          </w:p>
        </w:tc>
        <w:tc>
          <w:tcPr>
            <w:tcW w:w="1134" w:type="dxa"/>
            <w:shd w:val="clear" w:color="auto" w:fill="auto"/>
            <w:vAlign w:val="center"/>
          </w:tcPr>
          <w:p>
            <w:pPr>
              <w:spacing w:line="300" w:lineRule="exact"/>
              <w:jc w:val="left"/>
              <w:rPr>
                <w:rFonts w:hint="eastAsia" w:ascii="仿宋" w:hAnsi="仿宋" w:eastAsia="仿宋" w:cs="仿宋"/>
                <w:szCs w:val="24"/>
              </w:rPr>
            </w:pPr>
          </w:p>
        </w:tc>
        <w:tc>
          <w:tcPr>
            <w:tcW w:w="1276" w:type="dxa"/>
            <w:shd w:val="clear" w:color="auto" w:fill="auto"/>
            <w:vAlign w:val="center"/>
          </w:tcPr>
          <w:p>
            <w:pPr>
              <w:spacing w:line="300" w:lineRule="exact"/>
              <w:jc w:val="left"/>
              <w:rPr>
                <w:rFonts w:hint="eastAsia" w:ascii="仿宋" w:hAnsi="仿宋" w:eastAsia="仿宋" w:cs="仿宋"/>
                <w:szCs w:val="24"/>
              </w:rPr>
            </w:pPr>
          </w:p>
        </w:tc>
        <w:tc>
          <w:tcPr>
            <w:tcW w:w="2902" w:type="dxa"/>
            <w:shd w:val="clear" w:color="auto" w:fill="auto"/>
            <w:vAlign w:val="center"/>
          </w:tcPr>
          <w:p>
            <w:pPr>
              <w:spacing w:line="300" w:lineRule="exact"/>
              <w:jc w:val="lef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 w:hAnsi="仿宋" w:eastAsia="仿宋" w:cs="仿宋"/>
                <w:szCs w:val="24"/>
              </w:rPr>
            </w:pPr>
          </w:p>
        </w:tc>
        <w:tc>
          <w:tcPr>
            <w:tcW w:w="1134" w:type="dxa"/>
            <w:shd w:val="clear" w:color="auto" w:fill="auto"/>
            <w:vAlign w:val="center"/>
          </w:tcPr>
          <w:p>
            <w:pPr>
              <w:spacing w:line="300" w:lineRule="exact"/>
              <w:jc w:val="left"/>
              <w:rPr>
                <w:rFonts w:hint="eastAsia" w:ascii="仿宋" w:hAnsi="仿宋" w:eastAsia="仿宋" w:cs="仿宋"/>
                <w:szCs w:val="24"/>
              </w:rPr>
            </w:pPr>
          </w:p>
        </w:tc>
        <w:tc>
          <w:tcPr>
            <w:tcW w:w="1276" w:type="dxa"/>
            <w:shd w:val="clear" w:color="auto" w:fill="auto"/>
            <w:vAlign w:val="center"/>
          </w:tcPr>
          <w:p>
            <w:pPr>
              <w:spacing w:line="300" w:lineRule="exact"/>
              <w:jc w:val="left"/>
              <w:rPr>
                <w:rFonts w:hint="eastAsia" w:ascii="仿宋" w:hAnsi="仿宋" w:eastAsia="仿宋" w:cs="仿宋"/>
                <w:szCs w:val="24"/>
              </w:rPr>
            </w:pPr>
          </w:p>
        </w:tc>
        <w:tc>
          <w:tcPr>
            <w:tcW w:w="2902" w:type="dxa"/>
            <w:shd w:val="clear" w:color="auto" w:fill="auto"/>
            <w:vAlign w:val="center"/>
          </w:tcPr>
          <w:p>
            <w:pPr>
              <w:spacing w:line="300" w:lineRule="exact"/>
              <w:jc w:val="lef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 w:hAnsi="仿宋" w:eastAsia="仿宋" w:cs="仿宋"/>
                <w:szCs w:val="24"/>
              </w:rPr>
            </w:pPr>
          </w:p>
        </w:tc>
        <w:tc>
          <w:tcPr>
            <w:tcW w:w="1134" w:type="dxa"/>
            <w:shd w:val="clear" w:color="auto" w:fill="auto"/>
            <w:vAlign w:val="center"/>
          </w:tcPr>
          <w:p>
            <w:pPr>
              <w:spacing w:line="300" w:lineRule="exact"/>
              <w:jc w:val="left"/>
              <w:rPr>
                <w:rFonts w:hint="eastAsia" w:ascii="仿宋" w:hAnsi="仿宋" w:eastAsia="仿宋" w:cs="仿宋"/>
                <w:szCs w:val="24"/>
              </w:rPr>
            </w:pPr>
          </w:p>
        </w:tc>
        <w:tc>
          <w:tcPr>
            <w:tcW w:w="1276" w:type="dxa"/>
            <w:shd w:val="clear" w:color="auto" w:fill="auto"/>
            <w:vAlign w:val="center"/>
          </w:tcPr>
          <w:p>
            <w:pPr>
              <w:spacing w:line="300" w:lineRule="exact"/>
              <w:jc w:val="left"/>
              <w:rPr>
                <w:rFonts w:hint="eastAsia" w:ascii="仿宋" w:hAnsi="仿宋" w:eastAsia="仿宋" w:cs="仿宋"/>
                <w:szCs w:val="24"/>
              </w:rPr>
            </w:pPr>
          </w:p>
        </w:tc>
        <w:tc>
          <w:tcPr>
            <w:tcW w:w="2902" w:type="dxa"/>
            <w:shd w:val="clear" w:color="auto" w:fill="auto"/>
            <w:vAlign w:val="center"/>
          </w:tcPr>
          <w:p>
            <w:pPr>
              <w:spacing w:line="300" w:lineRule="exact"/>
              <w:jc w:val="lef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 w:hAnsi="仿宋" w:eastAsia="仿宋" w:cs="仿宋"/>
                <w:szCs w:val="24"/>
              </w:rPr>
            </w:pPr>
          </w:p>
        </w:tc>
        <w:tc>
          <w:tcPr>
            <w:tcW w:w="1134" w:type="dxa"/>
            <w:shd w:val="clear" w:color="auto" w:fill="auto"/>
            <w:vAlign w:val="center"/>
          </w:tcPr>
          <w:p>
            <w:pPr>
              <w:spacing w:line="300" w:lineRule="exact"/>
              <w:jc w:val="left"/>
              <w:rPr>
                <w:rFonts w:hint="eastAsia" w:ascii="仿宋" w:hAnsi="仿宋" w:eastAsia="仿宋" w:cs="仿宋"/>
                <w:szCs w:val="24"/>
              </w:rPr>
            </w:pPr>
          </w:p>
        </w:tc>
        <w:tc>
          <w:tcPr>
            <w:tcW w:w="1276" w:type="dxa"/>
            <w:shd w:val="clear" w:color="auto" w:fill="auto"/>
            <w:vAlign w:val="center"/>
          </w:tcPr>
          <w:p>
            <w:pPr>
              <w:spacing w:line="300" w:lineRule="exact"/>
              <w:jc w:val="left"/>
              <w:rPr>
                <w:rFonts w:hint="eastAsia" w:ascii="仿宋" w:hAnsi="仿宋" w:eastAsia="仿宋" w:cs="仿宋"/>
                <w:szCs w:val="24"/>
              </w:rPr>
            </w:pPr>
          </w:p>
        </w:tc>
        <w:tc>
          <w:tcPr>
            <w:tcW w:w="2902" w:type="dxa"/>
            <w:shd w:val="clear" w:color="auto" w:fill="auto"/>
            <w:vAlign w:val="center"/>
          </w:tcPr>
          <w:p>
            <w:pPr>
              <w:spacing w:line="300" w:lineRule="exact"/>
              <w:jc w:val="lef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 w:hAnsi="仿宋" w:eastAsia="仿宋" w:cs="仿宋"/>
                <w:szCs w:val="24"/>
              </w:rPr>
            </w:pPr>
          </w:p>
        </w:tc>
        <w:tc>
          <w:tcPr>
            <w:tcW w:w="1134" w:type="dxa"/>
            <w:shd w:val="clear" w:color="auto" w:fill="auto"/>
            <w:vAlign w:val="center"/>
          </w:tcPr>
          <w:p>
            <w:pPr>
              <w:spacing w:line="300" w:lineRule="exact"/>
              <w:jc w:val="left"/>
              <w:rPr>
                <w:rFonts w:hint="eastAsia" w:ascii="仿宋" w:hAnsi="仿宋" w:eastAsia="仿宋" w:cs="仿宋"/>
                <w:szCs w:val="24"/>
              </w:rPr>
            </w:pPr>
          </w:p>
        </w:tc>
        <w:tc>
          <w:tcPr>
            <w:tcW w:w="1276" w:type="dxa"/>
            <w:shd w:val="clear" w:color="auto" w:fill="auto"/>
            <w:vAlign w:val="center"/>
          </w:tcPr>
          <w:p>
            <w:pPr>
              <w:spacing w:line="300" w:lineRule="exact"/>
              <w:jc w:val="left"/>
              <w:rPr>
                <w:rFonts w:hint="eastAsia" w:ascii="仿宋" w:hAnsi="仿宋" w:eastAsia="仿宋" w:cs="仿宋"/>
                <w:szCs w:val="24"/>
              </w:rPr>
            </w:pPr>
          </w:p>
        </w:tc>
        <w:tc>
          <w:tcPr>
            <w:tcW w:w="2902" w:type="dxa"/>
            <w:shd w:val="clear" w:color="auto" w:fill="auto"/>
            <w:vAlign w:val="center"/>
          </w:tcPr>
          <w:p>
            <w:pPr>
              <w:spacing w:line="300" w:lineRule="exact"/>
              <w:jc w:val="lef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 w:hAnsi="仿宋" w:eastAsia="仿宋" w:cs="仿宋"/>
                <w:szCs w:val="24"/>
              </w:rPr>
            </w:pPr>
          </w:p>
        </w:tc>
        <w:tc>
          <w:tcPr>
            <w:tcW w:w="1134" w:type="dxa"/>
            <w:shd w:val="clear" w:color="auto" w:fill="auto"/>
            <w:vAlign w:val="center"/>
          </w:tcPr>
          <w:p>
            <w:pPr>
              <w:spacing w:line="300" w:lineRule="exact"/>
              <w:jc w:val="left"/>
              <w:rPr>
                <w:rFonts w:hint="eastAsia" w:ascii="仿宋" w:hAnsi="仿宋" w:eastAsia="仿宋" w:cs="仿宋"/>
                <w:szCs w:val="24"/>
              </w:rPr>
            </w:pPr>
          </w:p>
        </w:tc>
        <w:tc>
          <w:tcPr>
            <w:tcW w:w="1276" w:type="dxa"/>
            <w:shd w:val="clear" w:color="auto" w:fill="auto"/>
            <w:vAlign w:val="center"/>
          </w:tcPr>
          <w:p>
            <w:pPr>
              <w:spacing w:line="300" w:lineRule="exact"/>
              <w:jc w:val="left"/>
              <w:rPr>
                <w:rFonts w:hint="eastAsia" w:ascii="仿宋" w:hAnsi="仿宋" w:eastAsia="仿宋" w:cs="仿宋"/>
                <w:szCs w:val="24"/>
              </w:rPr>
            </w:pPr>
          </w:p>
        </w:tc>
        <w:tc>
          <w:tcPr>
            <w:tcW w:w="2902" w:type="dxa"/>
            <w:shd w:val="clear" w:color="auto" w:fill="auto"/>
            <w:vAlign w:val="center"/>
          </w:tcPr>
          <w:p>
            <w:pPr>
              <w:spacing w:line="300" w:lineRule="exact"/>
              <w:jc w:val="left"/>
              <w:rPr>
                <w:rFonts w:hint="eastAsia" w:ascii="仿宋" w:hAnsi="仿宋" w:eastAsia="仿宋" w:cs="仿宋"/>
                <w:szCs w:val="24"/>
              </w:rPr>
            </w:pPr>
          </w:p>
        </w:tc>
      </w:tr>
    </w:tbl>
    <w:p>
      <w:pPr>
        <w:ind w:firstLine="640"/>
        <w:rPr>
          <w:rFonts w:hint="eastAsia" w:ascii="仿宋" w:hAnsi="仿宋" w:eastAsia="仿宋" w:cs="仿宋"/>
          <w:sz w:val="32"/>
          <w:szCs w:val="32"/>
        </w:rPr>
      </w:pPr>
    </w:p>
    <w:p>
      <w:pPr>
        <w:ind w:firstLine="640"/>
        <w:rPr>
          <w:rFonts w:hint="eastAsia" w:ascii="宋体" w:hAnsi="宋体" w:eastAsia="宋体" w:cs="宋体"/>
          <w:b/>
          <w:bCs/>
          <w:sz w:val="32"/>
          <w:szCs w:val="32"/>
        </w:rPr>
      </w:pPr>
    </w:p>
    <w:p>
      <w:pPr>
        <w:ind w:firstLine="640"/>
        <w:rPr>
          <w:rFonts w:hint="eastAsia" w:ascii="宋体" w:hAnsi="宋体" w:eastAsia="宋体" w:cs="宋体"/>
          <w:b/>
          <w:bCs/>
          <w:sz w:val="32"/>
          <w:szCs w:val="32"/>
        </w:rPr>
      </w:pPr>
    </w:p>
    <w:p>
      <w:pPr>
        <w:ind w:firstLine="640"/>
        <w:rPr>
          <w:rFonts w:hint="eastAsia" w:ascii="宋体" w:hAnsi="宋体" w:eastAsia="宋体" w:cs="宋体"/>
          <w:b/>
          <w:bCs/>
          <w:sz w:val="32"/>
          <w:szCs w:val="32"/>
        </w:rPr>
      </w:pPr>
    </w:p>
    <w:p>
      <w:pPr>
        <w:ind w:firstLine="640"/>
        <w:rPr>
          <w:rFonts w:hint="eastAsia" w:ascii="宋体" w:hAnsi="宋体" w:eastAsia="宋体" w:cs="宋体"/>
          <w:b/>
          <w:bCs/>
          <w:sz w:val="32"/>
          <w:szCs w:val="32"/>
        </w:rPr>
      </w:pPr>
      <w:r>
        <w:rPr>
          <w:rFonts w:hint="eastAsia" w:ascii="宋体" w:hAnsi="宋体" w:eastAsia="宋体" w:cs="宋体"/>
          <w:b/>
          <w:bCs/>
          <w:sz w:val="32"/>
          <w:szCs w:val="32"/>
        </w:rPr>
        <w:t>二、部门预算安排的总体情况</w:t>
      </w:r>
    </w:p>
    <w:p>
      <w:pPr>
        <w:ind w:firstLine="640"/>
        <w:rPr>
          <w:rFonts w:hint="eastAsia" w:ascii="仿宋" w:hAnsi="仿宋" w:eastAsia="仿宋" w:cs="仿宋"/>
          <w:sz w:val="32"/>
          <w:szCs w:val="32"/>
        </w:rPr>
      </w:pPr>
      <w:r>
        <w:rPr>
          <w:rFonts w:hint="eastAsia" w:ascii="仿宋" w:hAnsi="仿宋" w:eastAsia="仿宋" w:cs="仿宋"/>
          <w:sz w:val="32"/>
          <w:szCs w:val="32"/>
        </w:rPr>
        <w:t>按照预算管理有关规定，目前我县部门预算的编制实行综合预算制度，即全部收入和支出都反映在预算中。</w:t>
      </w:r>
      <w:r>
        <w:rPr>
          <w:rFonts w:hint="eastAsia" w:ascii="仿宋" w:hAnsi="仿宋" w:eastAsia="仿宋" w:cs="Times New Roman"/>
          <w:sz w:val="32"/>
          <w:szCs w:val="32"/>
          <w:highlight w:val="none"/>
        </w:rPr>
        <w:t>只包括本单位预算，不包含下属单位预算在汇总预算中。</w:t>
      </w:r>
    </w:p>
    <w:p>
      <w:pPr>
        <w:ind w:firstLine="640"/>
        <w:rPr>
          <w:rFonts w:hint="eastAsia" w:ascii="仿宋" w:hAnsi="仿宋" w:eastAsia="仿宋" w:cs="仿宋"/>
          <w:b/>
          <w:sz w:val="32"/>
          <w:szCs w:val="32"/>
        </w:rPr>
      </w:pPr>
      <w:r>
        <w:rPr>
          <w:rFonts w:hint="eastAsia" w:ascii="仿宋" w:hAnsi="仿宋" w:eastAsia="仿宋" w:cs="仿宋"/>
          <w:b/>
          <w:sz w:val="32"/>
          <w:szCs w:val="32"/>
        </w:rPr>
        <w:t>1、收入说明</w:t>
      </w:r>
    </w:p>
    <w:p>
      <w:pPr>
        <w:ind w:firstLine="640"/>
        <w:rPr>
          <w:rFonts w:hint="eastAsia" w:ascii="仿宋" w:hAnsi="仿宋" w:eastAsia="仿宋" w:cs="仿宋"/>
          <w:sz w:val="32"/>
          <w:szCs w:val="32"/>
        </w:rPr>
      </w:pPr>
      <w:r>
        <w:rPr>
          <w:rFonts w:ascii="仿宋" w:hAnsi="仿宋" w:eastAsia="仿宋" w:cs="Times New Roman"/>
          <w:sz w:val="32"/>
          <w:szCs w:val="32"/>
        </w:rPr>
        <w:t>反映本部门当年全部收入。2017年预算收入</w:t>
      </w:r>
      <w:r>
        <w:rPr>
          <w:rFonts w:hint="eastAsia" w:ascii="仿宋" w:hAnsi="仿宋" w:eastAsia="仿宋" w:cs="仿宋"/>
          <w:sz w:val="32"/>
          <w:szCs w:val="32"/>
          <w:lang w:val="en-US" w:eastAsia="zh-CN"/>
        </w:rPr>
        <w:t>47325.31</w:t>
      </w:r>
      <w:r>
        <w:rPr>
          <w:rFonts w:ascii="仿宋" w:hAnsi="仿宋" w:eastAsia="仿宋" w:cs="Times New Roman"/>
          <w:sz w:val="32"/>
          <w:szCs w:val="32"/>
        </w:rPr>
        <w:t>万元，其中：</w:t>
      </w:r>
      <w:r>
        <w:rPr>
          <w:rFonts w:hint="eastAsia" w:ascii="仿宋" w:hAnsi="仿宋" w:eastAsia="仿宋"/>
          <w:sz w:val="32"/>
          <w:szCs w:val="32"/>
        </w:rPr>
        <w:t>一般公共预算收入</w:t>
      </w:r>
      <w:r>
        <w:rPr>
          <w:rFonts w:hint="eastAsia" w:ascii="仿宋" w:hAnsi="仿宋" w:eastAsia="仿宋" w:cs="仿宋"/>
          <w:sz w:val="32"/>
          <w:szCs w:val="32"/>
          <w:lang w:val="en-US" w:eastAsia="zh-CN"/>
        </w:rPr>
        <w:t>2525.31</w:t>
      </w:r>
      <w:r>
        <w:rPr>
          <w:rFonts w:hint="eastAsia" w:ascii="仿宋" w:hAnsi="仿宋" w:eastAsia="仿宋"/>
          <w:sz w:val="32"/>
          <w:szCs w:val="32"/>
        </w:rPr>
        <w:t>万元，财政专户核拨资金</w:t>
      </w:r>
      <w:r>
        <w:rPr>
          <w:rFonts w:hint="eastAsia" w:ascii="仿宋" w:hAnsi="仿宋" w:eastAsia="仿宋" w:cs="Times New Roman"/>
          <w:sz w:val="32"/>
          <w:szCs w:val="32"/>
          <w:lang w:val="en-US" w:eastAsia="zh-CN"/>
        </w:rPr>
        <w:t>0</w:t>
      </w:r>
      <w:r>
        <w:rPr>
          <w:rFonts w:hint="eastAsia" w:ascii="仿宋" w:hAnsi="仿宋" w:eastAsia="仿宋"/>
          <w:sz w:val="32"/>
          <w:szCs w:val="32"/>
        </w:rPr>
        <w:t>万元，政府性基金收入</w:t>
      </w:r>
      <w:r>
        <w:rPr>
          <w:rFonts w:hint="eastAsia" w:ascii="仿宋" w:hAnsi="仿宋" w:eastAsia="仿宋" w:cs="仿宋"/>
          <w:sz w:val="32"/>
          <w:szCs w:val="32"/>
          <w:lang w:val="en-US" w:eastAsia="zh-CN"/>
        </w:rPr>
        <w:t>44800</w:t>
      </w:r>
      <w:r>
        <w:rPr>
          <w:rFonts w:hint="eastAsia" w:ascii="仿宋" w:hAnsi="仿宋" w:eastAsia="仿宋"/>
          <w:sz w:val="32"/>
          <w:szCs w:val="32"/>
        </w:rPr>
        <w:t>万元，国有资本经营预算收入</w:t>
      </w:r>
      <w:r>
        <w:rPr>
          <w:rFonts w:hint="eastAsia" w:ascii="仿宋" w:hAnsi="仿宋" w:eastAsia="仿宋" w:cs="Times New Roman"/>
          <w:sz w:val="32"/>
          <w:szCs w:val="32"/>
          <w:lang w:val="en-US" w:eastAsia="zh-CN"/>
        </w:rPr>
        <w:t>0</w:t>
      </w:r>
      <w:r>
        <w:rPr>
          <w:rFonts w:hint="eastAsia" w:ascii="仿宋" w:hAnsi="仿宋" w:eastAsia="仿宋"/>
          <w:sz w:val="32"/>
          <w:szCs w:val="32"/>
        </w:rPr>
        <w:t>万元，事业收入</w:t>
      </w:r>
      <w:r>
        <w:rPr>
          <w:rFonts w:hint="eastAsia" w:ascii="仿宋" w:hAnsi="仿宋" w:eastAsia="仿宋" w:cs="Times New Roman"/>
          <w:sz w:val="32"/>
          <w:szCs w:val="32"/>
          <w:lang w:val="en-US" w:eastAsia="zh-CN"/>
        </w:rPr>
        <w:t>0</w:t>
      </w:r>
      <w:r>
        <w:rPr>
          <w:rFonts w:hint="eastAsia" w:ascii="仿宋" w:hAnsi="仿宋" w:eastAsia="仿宋"/>
          <w:sz w:val="32"/>
          <w:szCs w:val="32"/>
        </w:rPr>
        <w:t>万元，其他收入</w:t>
      </w:r>
      <w:r>
        <w:rPr>
          <w:rFonts w:hint="eastAsia" w:ascii="仿宋" w:hAnsi="仿宋" w:eastAsia="仿宋" w:cs="Times New Roman"/>
          <w:sz w:val="32"/>
          <w:szCs w:val="32"/>
          <w:lang w:val="en-US" w:eastAsia="zh-CN"/>
        </w:rPr>
        <w:t>0</w:t>
      </w:r>
      <w:r>
        <w:rPr>
          <w:rFonts w:hint="eastAsia" w:ascii="仿宋" w:hAnsi="仿宋" w:eastAsia="仿宋"/>
          <w:sz w:val="32"/>
          <w:szCs w:val="32"/>
        </w:rPr>
        <w:t>万元</w:t>
      </w:r>
      <w:r>
        <w:rPr>
          <w:rFonts w:ascii="仿宋" w:hAnsi="仿宋" w:eastAsia="仿宋" w:cs="Times New Roman"/>
          <w:sz w:val="32"/>
          <w:szCs w:val="32"/>
        </w:rPr>
        <w:t>。</w:t>
      </w:r>
    </w:p>
    <w:p>
      <w:pPr>
        <w:ind w:firstLine="640"/>
        <w:rPr>
          <w:rFonts w:hint="eastAsia" w:ascii="仿宋" w:hAnsi="仿宋" w:eastAsia="仿宋" w:cs="仿宋"/>
          <w:b/>
          <w:sz w:val="32"/>
          <w:szCs w:val="32"/>
        </w:rPr>
      </w:pPr>
      <w:r>
        <w:rPr>
          <w:rFonts w:hint="eastAsia" w:ascii="仿宋" w:hAnsi="仿宋" w:eastAsia="仿宋" w:cs="仿宋"/>
          <w:b/>
          <w:sz w:val="32"/>
          <w:szCs w:val="32"/>
        </w:rPr>
        <w:t>2、支出说明</w:t>
      </w:r>
    </w:p>
    <w:p>
      <w:pPr>
        <w:ind w:firstLine="640"/>
        <w:rPr>
          <w:rFonts w:hint="eastAsia" w:ascii="仿宋" w:hAnsi="仿宋" w:eastAsia="仿宋" w:cs="仿宋"/>
          <w:b/>
          <w:sz w:val="32"/>
          <w:szCs w:val="32"/>
        </w:rPr>
      </w:pPr>
      <w:r>
        <w:rPr>
          <w:rFonts w:hint="eastAsia" w:ascii="仿宋" w:hAnsi="仿宋" w:eastAsia="仿宋" w:cs="仿宋"/>
          <w:sz w:val="32"/>
          <w:szCs w:val="32"/>
        </w:rPr>
        <w:t>收支预算总表支出栏、基本支出表、项目支出表按经济分类和支出功能分类科目编制，反映香河县</w:t>
      </w:r>
      <w:r>
        <w:rPr>
          <w:rFonts w:hint="eastAsia" w:ascii="仿宋" w:hAnsi="仿宋" w:eastAsia="仿宋" w:cs="仿宋"/>
          <w:sz w:val="32"/>
          <w:szCs w:val="32"/>
          <w:lang w:eastAsia="zh-CN"/>
        </w:rPr>
        <w:t>香河县国土资源局</w:t>
      </w:r>
      <w:r>
        <w:rPr>
          <w:rFonts w:hint="eastAsia" w:ascii="仿宋" w:hAnsi="仿宋" w:eastAsia="仿宋" w:cs="仿宋"/>
          <w:sz w:val="32"/>
          <w:szCs w:val="32"/>
        </w:rPr>
        <w:t>年度部门预算中支出预算的总体情况。</w:t>
      </w:r>
      <w:r>
        <w:rPr>
          <w:rFonts w:ascii="仿宋" w:hAnsi="仿宋" w:eastAsia="仿宋" w:cs="Times New Roman"/>
          <w:sz w:val="32"/>
          <w:szCs w:val="32"/>
        </w:rPr>
        <w:t>2017年支出预算</w:t>
      </w:r>
      <w:r>
        <w:rPr>
          <w:rFonts w:hint="eastAsia" w:ascii="仿宋" w:hAnsi="仿宋" w:eastAsia="仿宋" w:cs="仿宋"/>
          <w:sz w:val="32"/>
          <w:szCs w:val="32"/>
          <w:lang w:val="en-US" w:eastAsia="zh-CN"/>
        </w:rPr>
        <w:t>47325.31</w:t>
      </w:r>
      <w:r>
        <w:rPr>
          <w:rFonts w:ascii="仿宋" w:hAnsi="仿宋" w:eastAsia="仿宋" w:cs="Times New Roman"/>
          <w:sz w:val="32"/>
          <w:szCs w:val="32"/>
        </w:rPr>
        <w:t>万元，其中基本支出</w:t>
      </w:r>
      <w:r>
        <w:rPr>
          <w:rFonts w:hint="eastAsia" w:ascii="仿宋" w:hAnsi="仿宋" w:eastAsia="仿宋" w:cs="仿宋"/>
          <w:sz w:val="32"/>
          <w:szCs w:val="32"/>
          <w:lang w:val="en-US" w:eastAsia="zh-CN"/>
        </w:rPr>
        <w:t>1414.25</w:t>
      </w:r>
      <w:r>
        <w:rPr>
          <w:rFonts w:ascii="仿宋" w:hAnsi="仿宋" w:eastAsia="仿宋" w:cs="Times New Roman"/>
          <w:sz w:val="32"/>
          <w:szCs w:val="32"/>
        </w:rPr>
        <w:t>万元</w:t>
      </w:r>
      <w:r>
        <w:rPr>
          <w:rFonts w:hint="eastAsia" w:ascii="仿宋" w:hAnsi="仿宋" w:eastAsia="仿宋" w:cs="Times New Roman"/>
          <w:sz w:val="32"/>
          <w:szCs w:val="32"/>
          <w:lang w:eastAsia="zh-CN"/>
        </w:rPr>
        <w:t>，</w:t>
      </w:r>
      <w:r>
        <w:rPr>
          <w:rFonts w:hint="eastAsia" w:ascii="仿宋" w:hAnsi="仿宋" w:eastAsia="仿宋"/>
          <w:sz w:val="32"/>
          <w:szCs w:val="32"/>
        </w:rPr>
        <w:t>包括人员经费</w:t>
      </w:r>
      <w:r>
        <w:rPr>
          <w:rFonts w:hint="eastAsia" w:ascii="仿宋" w:hAnsi="仿宋" w:eastAsia="仿宋" w:cs="Times New Roman"/>
          <w:sz w:val="32"/>
          <w:szCs w:val="32"/>
          <w:lang w:val="en-US" w:eastAsia="zh-CN"/>
        </w:rPr>
        <w:t>1202.44</w:t>
      </w:r>
      <w:r>
        <w:rPr>
          <w:rFonts w:hint="eastAsia" w:ascii="仿宋" w:hAnsi="仿宋" w:eastAsia="仿宋"/>
          <w:sz w:val="32"/>
          <w:szCs w:val="32"/>
        </w:rPr>
        <w:t>万元，日常公用经费</w:t>
      </w:r>
      <w:r>
        <w:rPr>
          <w:rFonts w:hint="eastAsia" w:ascii="仿宋" w:hAnsi="仿宋" w:eastAsia="仿宋" w:cs="Times New Roman"/>
          <w:sz w:val="32"/>
          <w:szCs w:val="32"/>
          <w:lang w:val="en-US" w:eastAsia="zh-CN"/>
        </w:rPr>
        <w:t>211.81</w:t>
      </w:r>
      <w:r>
        <w:rPr>
          <w:rFonts w:hint="eastAsia" w:ascii="仿宋" w:hAnsi="仿宋" w:eastAsia="仿宋"/>
          <w:sz w:val="32"/>
          <w:szCs w:val="32"/>
        </w:rPr>
        <w:t>万元</w:t>
      </w:r>
      <w:r>
        <w:rPr>
          <w:rFonts w:ascii="仿宋" w:hAnsi="仿宋" w:eastAsia="仿宋" w:cs="Times New Roman"/>
          <w:sz w:val="32"/>
          <w:szCs w:val="32"/>
        </w:rPr>
        <w:t>；项目支出</w:t>
      </w:r>
      <w:r>
        <w:rPr>
          <w:rFonts w:hint="eastAsia" w:ascii="仿宋" w:hAnsi="仿宋" w:eastAsia="仿宋" w:cs="仿宋"/>
          <w:sz w:val="32"/>
          <w:szCs w:val="32"/>
          <w:lang w:val="en-US" w:eastAsia="zh-CN"/>
        </w:rPr>
        <w:t>45911.06</w:t>
      </w:r>
      <w:r>
        <w:rPr>
          <w:rFonts w:ascii="仿宋" w:hAnsi="仿宋" w:eastAsia="仿宋" w:cs="Times New Roman"/>
          <w:sz w:val="32"/>
          <w:szCs w:val="32"/>
        </w:rPr>
        <w:t>万元，</w:t>
      </w:r>
      <w:r>
        <w:rPr>
          <w:rFonts w:hint="eastAsia" w:ascii="仿宋" w:hAnsi="仿宋" w:eastAsia="仿宋" w:cs="Times New Roman"/>
          <w:sz w:val="32"/>
          <w:szCs w:val="32"/>
        </w:rPr>
        <w:t>为</w:t>
      </w:r>
      <w:r>
        <w:rPr>
          <w:rFonts w:ascii="仿宋" w:hAnsi="仿宋" w:eastAsia="仿宋" w:cs="Times New Roman"/>
          <w:sz w:val="32"/>
          <w:szCs w:val="32"/>
        </w:rPr>
        <w:t>本级支出</w:t>
      </w:r>
      <w:r>
        <w:rPr>
          <w:rFonts w:hint="eastAsia" w:ascii="仿宋" w:hAnsi="仿宋" w:eastAsia="仿宋" w:cs="仿宋"/>
          <w:sz w:val="32"/>
          <w:szCs w:val="32"/>
          <w:lang w:val="en-US" w:eastAsia="zh-CN"/>
        </w:rPr>
        <w:t>45911.06</w:t>
      </w:r>
      <w:r>
        <w:rPr>
          <w:rFonts w:hint="eastAsia" w:ascii="仿宋" w:hAnsi="仿宋" w:eastAsia="仿宋" w:cs="Times New Roman"/>
          <w:sz w:val="32"/>
          <w:szCs w:val="32"/>
        </w:rPr>
        <w:t>万元，</w:t>
      </w:r>
      <w:r>
        <w:rPr>
          <w:rFonts w:ascii="仿宋" w:hAnsi="仿宋" w:eastAsia="仿宋" w:cs="Times New Roman"/>
          <w:sz w:val="32"/>
          <w:szCs w:val="32"/>
        </w:rPr>
        <w:t>本级支出和对下补助支出</w:t>
      </w:r>
      <w:r>
        <w:rPr>
          <w:rFonts w:hint="eastAsia" w:ascii="仿宋" w:hAnsi="仿宋" w:eastAsia="仿宋" w:cs="Times New Roman"/>
          <w:sz w:val="32"/>
          <w:szCs w:val="32"/>
          <w:lang w:val="en-US" w:eastAsia="zh-CN"/>
        </w:rPr>
        <w:t>0</w:t>
      </w:r>
      <w:r>
        <w:rPr>
          <w:rFonts w:hint="eastAsia" w:ascii="仿宋" w:hAnsi="仿宋" w:eastAsia="仿宋"/>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上缴上级支出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p>
    <w:p>
      <w:pPr>
        <w:ind w:firstLine="640"/>
        <w:rPr>
          <w:rFonts w:hint="eastAsia" w:ascii="仿宋" w:hAnsi="仿宋" w:eastAsia="仿宋" w:cs="仿宋"/>
          <w:b/>
          <w:sz w:val="32"/>
          <w:szCs w:val="32"/>
        </w:rPr>
      </w:pPr>
      <w:r>
        <w:rPr>
          <w:rFonts w:hint="eastAsia" w:ascii="仿宋" w:hAnsi="仿宋" w:eastAsia="仿宋" w:cs="仿宋"/>
          <w:b/>
          <w:sz w:val="32"/>
          <w:szCs w:val="32"/>
        </w:rPr>
        <w:t>3、比上年增减情况</w:t>
      </w:r>
    </w:p>
    <w:p>
      <w:pPr>
        <w:ind w:firstLine="640"/>
        <w:rPr>
          <w:rFonts w:hint="eastAsia" w:ascii="仿宋" w:hAnsi="仿宋" w:eastAsia="仿宋" w:cs="仿宋"/>
          <w:sz w:val="32"/>
          <w:szCs w:val="32"/>
        </w:rPr>
      </w:pPr>
      <w:r>
        <w:rPr>
          <w:rFonts w:hint="eastAsia" w:ascii="仿宋" w:hAnsi="仿宋" w:eastAsia="仿宋" w:cs="仿宋"/>
          <w:sz w:val="32"/>
          <w:szCs w:val="32"/>
        </w:rPr>
        <w:t>2017年预算收支安排</w:t>
      </w:r>
      <w:r>
        <w:rPr>
          <w:rFonts w:hint="eastAsia" w:ascii="仿宋" w:hAnsi="仿宋" w:eastAsia="仿宋" w:cs="仿宋"/>
          <w:sz w:val="32"/>
          <w:szCs w:val="32"/>
          <w:lang w:val="en-US" w:eastAsia="zh-CN"/>
        </w:rPr>
        <w:t>47325.31</w:t>
      </w:r>
      <w:r>
        <w:rPr>
          <w:rFonts w:hint="eastAsia" w:ascii="仿宋" w:hAnsi="仿宋" w:eastAsia="仿宋" w:cs="仿宋"/>
          <w:sz w:val="32"/>
          <w:szCs w:val="32"/>
        </w:rPr>
        <w:t>万元，较2016年预算</w:t>
      </w:r>
      <w:r>
        <w:rPr>
          <w:rFonts w:hint="eastAsia" w:ascii="仿宋" w:hAnsi="仿宋" w:eastAsia="仿宋" w:cs="仿宋"/>
          <w:sz w:val="32"/>
          <w:szCs w:val="32"/>
          <w:highlight w:val="none"/>
        </w:rPr>
        <w:t>增加</w:t>
      </w:r>
      <w:r>
        <w:rPr>
          <w:rFonts w:hint="eastAsia" w:ascii="仿宋" w:hAnsi="仿宋" w:eastAsia="仿宋" w:cs="仿宋"/>
          <w:sz w:val="32"/>
          <w:szCs w:val="32"/>
          <w:lang w:val="en-US" w:eastAsia="zh-CN"/>
        </w:rPr>
        <w:t>43885.19</w:t>
      </w:r>
      <w:r>
        <w:rPr>
          <w:rFonts w:hint="eastAsia" w:ascii="仿宋" w:hAnsi="仿宋" w:eastAsia="仿宋" w:cs="仿宋"/>
          <w:sz w:val="32"/>
          <w:szCs w:val="32"/>
        </w:rPr>
        <w:t>万元，其中：基本支出</w:t>
      </w:r>
      <w:r>
        <w:rPr>
          <w:rFonts w:hint="eastAsia" w:ascii="仿宋" w:hAnsi="仿宋" w:eastAsia="仿宋" w:cs="仿宋"/>
          <w:sz w:val="32"/>
          <w:szCs w:val="32"/>
          <w:highlight w:val="none"/>
        </w:rPr>
        <w:t>增加</w:t>
      </w:r>
      <w:r>
        <w:rPr>
          <w:rFonts w:hint="eastAsia" w:ascii="仿宋" w:hAnsi="仿宋" w:eastAsia="仿宋" w:cs="仿宋"/>
          <w:sz w:val="32"/>
          <w:szCs w:val="32"/>
          <w:lang w:val="en-US" w:eastAsia="zh-CN"/>
        </w:rPr>
        <w:t>290.91</w:t>
      </w:r>
      <w:r>
        <w:rPr>
          <w:rFonts w:hint="eastAsia" w:ascii="仿宋" w:hAnsi="仿宋" w:eastAsia="仿宋" w:cs="仿宋"/>
          <w:sz w:val="32"/>
          <w:szCs w:val="32"/>
        </w:rPr>
        <w:t>万元，主要为</w:t>
      </w:r>
      <w:r>
        <w:rPr>
          <w:rFonts w:hint="eastAsia" w:ascii="仿宋" w:hAnsi="仿宋" w:eastAsia="仿宋" w:cs="仿宋"/>
          <w:sz w:val="32"/>
          <w:szCs w:val="32"/>
          <w:highlight w:val="none"/>
        </w:rPr>
        <w:t>增加人员经费支出</w:t>
      </w:r>
      <w:r>
        <w:rPr>
          <w:rFonts w:hint="eastAsia" w:ascii="仿宋" w:hAnsi="仿宋" w:eastAsia="仿宋" w:cs="仿宋"/>
          <w:sz w:val="32"/>
          <w:szCs w:val="32"/>
        </w:rPr>
        <w:t>；项目支出</w:t>
      </w:r>
      <w:r>
        <w:rPr>
          <w:rFonts w:hint="eastAsia" w:ascii="仿宋" w:hAnsi="仿宋" w:eastAsia="仿宋" w:cs="仿宋"/>
          <w:sz w:val="32"/>
          <w:szCs w:val="32"/>
          <w:highlight w:val="none"/>
        </w:rPr>
        <w:t>增加</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lang w:val="en-US" w:eastAsia="zh-CN"/>
        </w:rPr>
        <w:t>3594.28</w:t>
      </w:r>
      <w:r>
        <w:rPr>
          <w:rFonts w:hint="eastAsia" w:ascii="仿宋" w:hAnsi="仿宋" w:eastAsia="仿宋" w:cs="仿宋"/>
          <w:sz w:val="32"/>
          <w:szCs w:val="32"/>
        </w:rPr>
        <w:t>万元，主要为</w:t>
      </w:r>
      <w:r>
        <w:rPr>
          <w:rFonts w:hint="eastAsia" w:ascii="仿宋" w:hAnsi="仿宋" w:eastAsia="仿宋" w:cs="仿宋"/>
          <w:sz w:val="32"/>
          <w:szCs w:val="32"/>
          <w:lang w:eastAsia="zh-CN"/>
        </w:rPr>
        <w:t>城乡社区</w:t>
      </w:r>
      <w:r>
        <w:rPr>
          <w:rFonts w:hint="eastAsia" w:ascii="仿宋" w:hAnsi="仿宋" w:eastAsia="仿宋" w:cs="仿宋"/>
          <w:sz w:val="32"/>
          <w:szCs w:val="32"/>
        </w:rPr>
        <w:t>项目支出。</w:t>
      </w:r>
    </w:p>
    <w:p>
      <w:pPr>
        <w:ind w:firstLine="640"/>
        <w:rPr>
          <w:rFonts w:hint="eastAsia" w:ascii="宋体" w:hAnsi="宋体" w:eastAsia="宋体" w:cs="宋体"/>
          <w:b/>
          <w:bCs/>
          <w:sz w:val="32"/>
          <w:szCs w:val="32"/>
        </w:rPr>
      </w:pPr>
      <w:r>
        <w:rPr>
          <w:rFonts w:hint="eastAsia" w:ascii="宋体" w:hAnsi="宋体" w:eastAsia="宋体" w:cs="宋体"/>
          <w:b/>
          <w:bCs/>
          <w:sz w:val="32"/>
          <w:szCs w:val="32"/>
        </w:rPr>
        <w:t>三、机关运行经费安排情况</w:t>
      </w:r>
    </w:p>
    <w:p>
      <w:pPr>
        <w:autoSpaceDE w:val="0"/>
        <w:autoSpaceDN w:val="0"/>
        <w:adjustRightInd w:val="0"/>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rPr>
        <w:t>机关运行经费共计安排</w:t>
      </w:r>
      <w:r>
        <w:rPr>
          <w:rFonts w:hint="eastAsia" w:ascii="仿宋" w:hAnsi="仿宋" w:eastAsia="仿宋" w:cs="仿宋"/>
          <w:sz w:val="32"/>
          <w:szCs w:val="32"/>
          <w:lang w:val="en-US" w:eastAsia="zh-CN"/>
        </w:rPr>
        <w:t>211.81</w:t>
      </w:r>
      <w:r>
        <w:rPr>
          <w:rFonts w:hint="eastAsia" w:ascii="仿宋" w:hAnsi="仿宋" w:eastAsia="仿宋" w:cs="仿宋"/>
          <w:sz w:val="32"/>
          <w:szCs w:val="32"/>
        </w:rPr>
        <w:t>万元，主要用于办公区的日常维修、办公用房水电费、办公用房取暖费、办公用房物业管理费等日常运行支出。</w:t>
      </w:r>
    </w:p>
    <w:p>
      <w:pPr>
        <w:ind w:firstLine="640"/>
        <w:rPr>
          <w:rFonts w:hint="eastAsia" w:ascii="宋体" w:hAnsi="宋体" w:eastAsia="宋体" w:cs="宋体"/>
          <w:b/>
          <w:bCs/>
          <w:sz w:val="32"/>
          <w:szCs w:val="32"/>
        </w:rPr>
      </w:pPr>
      <w:r>
        <w:rPr>
          <w:rFonts w:hint="eastAsia" w:ascii="宋体" w:hAnsi="宋体" w:eastAsia="宋体" w:cs="宋体"/>
          <w:b/>
          <w:bCs/>
          <w:sz w:val="32"/>
          <w:szCs w:val="32"/>
        </w:rPr>
        <w:t>四、财政拨款“三公”经费预算情况及增减变化原因</w:t>
      </w:r>
    </w:p>
    <w:p>
      <w:pPr>
        <w:autoSpaceDE w:val="0"/>
        <w:autoSpaceDN w:val="0"/>
        <w:adjustRightInd w:val="0"/>
        <w:ind w:left="198" w:firstLine="640" w:firstLineChars="200"/>
        <w:jc w:val="left"/>
        <w:rPr>
          <w:rFonts w:hint="eastAsia" w:ascii="仿宋" w:hAnsi="仿宋" w:eastAsia="仿宋" w:cs="仿宋"/>
          <w:sz w:val="32"/>
          <w:szCs w:val="32"/>
          <w:highlight w:val="none"/>
          <w:lang w:eastAsia="zh-CN"/>
        </w:rPr>
      </w:pPr>
      <w:r>
        <w:rPr>
          <w:rFonts w:ascii="仿宋" w:hAnsi="仿宋" w:eastAsia="仿宋" w:cs="Times New Roman"/>
          <w:sz w:val="32"/>
          <w:szCs w:val="32"/>
        </w:rPr>
        <w:t>2017年，</w:t>
      </w:r>
      <w:r>
        <w:rPr>
          <w:rFonts w:hint="eastAsia" w:ascii="仿宋" w:hAnsi="仿宋" w:eastAsia="仿宋" w:cs="Times New Roman"/>
          <w:sz w:val="32"/>
          <w:szCs w:val="32"/>
        </w:rPr>
        <w:t>本部门</w:t>
      </w:r>
      <w:r>
        <w:rPr>
          <w:rFonts w:ascii="仿宋" w:hAnsi="仿宋" w:eastAsia="仿宋" w:cs="Times New Roman"/>
          <w:sz w:val="32"/>
          <w:szCs w:val="32"/>
        </w:rPr>
        <w:t xml:space="preserve"> “三公”经费预算安排</w:t>
      </w:r>
      <w:r>
        <w:rPr>
          <w:rFonts w:hint="eastAsia" w:ascii="仿宋" w:hAnsi="仿宋" w:eastAsia="仿宋" w:cs="仿宋"/>
          <w:sz w:val="32"/>
          <w:szCs w:val="32"/>
          <w:lang w:val="en-US" w:eastAsia="zh-CN"/>
        </w:rPr>
        <w:t>40.27</w:t>
      </w:r>
      <w:r>
        <w:rPr>
          <w:rFonts w:ascii="仿宋" w:hAnsi="仿宋" w:eastAsia="仿宋" w:cs="Times New Roman"/>
          <w:sz w:val="32"/>
          <w:szCs w:val="32"/>
        </w:rPr>
        <w:t>万元，其中因公出国（境）费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万元；公务用车购置及运维费</w:t>
      </w:r>
      <w:r>
        <w:rPr>
          <w:rFonts w:hint="eastAsia" w:ascii="仿宋" w:hAnsi="仿宋" w:eastAsia="仿宋" w:cs="仿宋"/>
          <w:sz w:val="32"/>
          <w:szCs w:val="32"/>
          <w:lang w:val="en-US" w:eastAsia="zh-CN"/>
        </w:rPr>
        <w:t>38.56</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万元，公务用车运行费</w:t>
      </w:r>
      <w:r>
        <w:rPr>
          <w:rFonts w:hint="eastAsia" w:ascii="仿宋" w:hAnsi="仿宋" w:eastAsia="仿宋" w:cs="仿宋"/>
          <w:sz w:val="32"/>
          <w:szCs w:val="32"/>
          <w:lang w:val="en-US" w:eastAsia="zh-CN"/>
        </w:rPr>
        <w:t>38.56</w:t>
      </w:r>
      <w:r>
        <w:rPr>
          <w:rFonts w:ascii="仿宋" w:hAnsi="仿宋" w:eastAsia="仿宋" w:cs="Times New Roman"/>
          <w:sz w:val="32"/>
          <w:szCs w:val="32"/>
        </w:rPr>
        <w:t>万元</w:t>
      </w:r>
      <w:r>
        <w:rPr>
          <w:rFonts w:hint="eastAsia" w:ascii="仿宋" w:hAnsi="仿宋" w:eastAsia="仿宋" w:cs="Times New Roman"/>
          <w:sz w:val="32"/>
          <w:szCs w:val="32"/>
          <w:lang w:eastAsia="zh-CN"/>
        </w:rPr>
        <w:t>）</w:t>
      </w:r>
      <w:r>
        <w:rPr>
          <w:rFonts w:ascii="仿宋" w:hAnsi="仿宋" w:eastAsia="仿宋" w:cs="Times New Roman"/>
          <w:sz w:val="32"/>
          <w:szCs w:val="32"/>
        </w:rPr>
        <w:t>；公务接待费</w:t>
      </w:r>
      <w:r>
        <w:rPr>
          <w:rFonts w:hint="eastAsia" w:ascii="仿宋" w:hAnsi="仿宋" w:eastAsia="仿宋" w:cs="仿宋"/>
          <w:sz w:val="32"/>
          <w:szCs w:val="32"/>
          <w:lang w:val="en-US" w:eastAsia="zh-CN"/>
        </w:rPr>
        <w:t>1.71</w:t>
      </w:r>
      <w:r>
        <w:rPr>
          <w:rFonts w:ascii="仿宋" w:hAnsi="仿宋" w:eastAsia="仿宋" w:cs="Times New Roman"/>
          <w:sz w:val="32"/>
          <w:szCs w:val="32"/>
        </w:rPr>
        <w:t>万元。与2016年</w:t>
      </w:r>
      <w:r>
        <w:rPr>
          <w:rFonts w:hint="eastAsia" w:ascii="仿宋" w:hAnsi="仿宋" w:eastAsia="仿宋" w:cs="仿宋"/>
          <w:sz w:val="32"/>
          <w:szCs w:val="32"/>
          <w:lang w:eastAsia="zh-CN"/>
        </w:rPr>
        <w:t>相比</w:t>
      </w:r>
      <w:r>
        <w:rPr>
          <w:rFonts w:hint="eastAsia" w:ascii="仿宋" w:hAnsi="仿宋" w:eastAsia="仿宋" w:cs="仿宋"/>
          <w:sz w:val="32"/>
          <w:szCs w:val="32"/>
          <w:highlight w:val="none"/>
        </w:rPr>
        <w:t>减</w:t>
      </w:r>
      <w:r>
        <w:rPr>
          <w:rFonts w:hint="eastAsia" w:ascii="仿宋" w:hAnsi="仿宋" w:eastAsia="仿宋" w:cs="仿宋"/>
          <w:sz w:val="32"/>
          <w:szCs w:val="32"/>
          <w:highlight w:val="none"/>
          <w:lang w:eastAsia="zh-CN"/>
        </w:rPr>
        <w:t>少</w:t>
      </w:r>
      <w:r>
        <w:rPr>
          <w:rFonts w:hint="eastAsia" w:ascii="仿宋" w:hAnsi="仿宋" w:eastAsia="仿宋" w:cs="仿宋"/>
          <w:sz w:val="32"/>
          <w:szCs w:val="32"/>
          <w:lang w:val="en-US" w:eastAsia="zh-CN"/>
        </w:rPr>
        <w:t>3.72</w:t>
      </w:r>
      <w:r>
        <w:rPr>
          <w:rFonts w:hint="eastAsia" w:ascii="仿宋" w:hAnsi="仿宋" w:eastAsia="仿宋" w:cs="Times New Roman"/>
          <w:sz w:val="32"/>
          <w:szCs w:val="32"/>
        </w:rPr>
        <w:t>万元，</w:t>
      </w:r>
      <w:r>
        <w:rPr>
          <w:rFonts w:hint="eastAsia" w:ascii="仿宋" w:hAnsi="仿宋" w:eastAsia="仿宋" w:cs="仿宋"/>
          <w:sz w:val="32"/>
          <w:szCs w:val="32"/>
        </w:rPr>
        <w:t>主要原因是</w:t>
      </w:r>
      <w:r>
        <w:rPr>
          <w:rFonts w:hint="eastAsia" w:ascii="仿宋" w:hAnsi="仿宋" w:eastAsia="仿宋" w:cs="仿宋"/>
          <w:sz w:val="32"/>
          <w:szCs w:val="32"/>
          <w:highlight w:val="none"/>
        </w:rPr>
        <w:t>由于公务用车改革，相应减少公务用车运行费</w:t>
      </w:r>
      <w:r>
        <w:rPr>
          <w:rFonts w:hint="eastAsia" w:ascii="仿宋" w:hAnsi="仿宋" w:eastAsia="仿宋" w:cs="仿宋"/>
          <w:sz w:val="32"/>
          <w:szCs w:val="32"/>
          <w:highlight w:val="none"/>
          <w:lang w:eastAsia="zh-CN"/>
        </w:rPr>
        <w:t>和</w:t>
      </w:r>
      <w:r>
        <w:rPr>
          <w:rFonts w:hint="eastAsia" w:ascii="仿宋" w:hAnsi="仿宋" w:eastAsia="仿宋" w:cs="仿宋"/>
          <w:sz w:val="32"/>
          <w:szCs w:val="32"/>
          <w:highlight w:val="none"/>
        </w:rPr>
        <w:t>由于厉行节约，相应减少公务接待费</w:t>
      </w:r>
      <w:r>
        <w:rPr>
          <w:rFonts w:hint="eastAsia" w:ascii="仿宋" w:hAnsi="仿宋" w:eastAsia="仿宋" w:cs="仿宋"/>
          <w:sz w:val="32"/>
          <w:szCs w:val="32"/>
          <w:highlight w:val="none"/>
          <w:lang w:eastAsia="zh-CN"/>
        </w:rPr>
        <w:t>。</w:t>
      </w:r>
    </w:p>
    <w:p>
      <w:pPr>
        <w:ind w:firstLine="640"/>
        <w:rPr>
          <w:rFonts w:hint="eastAsia" w:ascii="宋体" w:hAnsi="宋体" w:eastAsia="宋体" w:cs="宋体"/>
          <w:b/>
          <w:bCs/>
          <w:sz w:val="32"/>
          <w:szCs w:val="32"/>
        </w:rPr>
      </w:pPr>
    </w:p>
    <w:p>
      <w:pPr>
        <w:ind w:firstLine="640"/>
        <w:rPr>
          <w:rFonts w:hint="eastAsia" w:ascii="宋体" w:hAnsi="宋体" w:eastAsia="宋体" w:cs="宋体"/>
          <w:b/>
          <w:bCs/>
          <w:sz w:val="32"/>
          <w:szCs w:val="32"/>
        </w:rPr>
      </w:pPr>
    </w:p>
    <w:p>
      <w:pPr>
        <w:ind w:firstLine="640"/>
        <w:rPr>
          <w:rFonts w:hint="eastAsia" w:ascii="宋体" w:hAnsi="宋体" w:eastAsia="宋体" w:cs="宋体"/>
          <w:b/>
          <w:bCs/>
          <w:sz w:val="32"/>
          <w:szCs w:val="32"/>
        </w:rPr>
      </w:pPr>
      <w:r>
        <w:rPr>
          <w:rFonts w:hint="eastAsia" w:ascii="宋体" w:hAnsi="宋体" w:eastAsia="宋体" w:cs="宋体"/>
          <w:b/>
          <w:bCs/>
          <w:sz w:val="32"/>
          <w:szCs w:val="32"/>
        </w:rPr>
        <w:t>五、绩效预算信息</w:t>
      </w:r>
    </w:p>
    <w:p>
      <w:pPr>
        <w:ind w:firstLine="643" w:firstLineChars="200"/>
        <w:jc w:val="left"/>
        <w:rPr>
          <w:rFonts w:hint="eastAsia" w:ascii="仿宋" w:hAnsi="仿宋" w:eastAsia="仿宋" w:cs="仿宋"/>
          <w:b/>
          <w:sz w:val="32"/>
          <w:szCs w:val="32"/>
        </w:rPr>
      </w:pPr>
      <w:bookmarkStart w:id="0" w:name="_Toc471398463"/>
      <w:r>
        <w:rPr>
          <w:rFonts w:hint="eastAsia" w:ascii="仿宋" w:hAnsi="仿宋" w:eastAsia="仿宋" w:cs="仿宋"/>
          <w:b/>
          <w:sz w:val="32"/>
          <w:szCs w:val="32"/>
        </w:rPr>
        <w:t>总体绩效目标：</w:t>
      </w:r>
    </w:p>
    <w:p>
      <w:pPr>
        <w:autoSpaceDE w:val="0"/>
        <w:autoSpaceDN w:val="0"/>
        <w:adjustRightInd w:val="0"/>
        <w:ind w:left="198" w:firstLine="640" w:firstLineChars="200"/>
        <w:jc w:val="left"/>
        <w:rPr>
          <w:rFonts w:hint="eastAsia" w:ascii="仿宋" w:hAnsi="仿宋" w:eastAsia="仿宋" w:cs="仿宋"/>
          <w:sz w:val="32"/>
          <w:szCs w:val="32"/>
          <w:highlight w:val="red"/>
        </w:rPr>
      </w:pPr>
      <w:r>
        <w:rPr>
          <w:rFonts w:hint="eastAsia" w:ascii="仿宋" w:hAnsi="仿宋" w:eastAsia="仿宋" w:cs="仿宋"/>
          <w:sz w:val="32"/>
          <w:szCs w:val="32"/>
        </w:rPr>
        <w:t>实现基本农田面积不减少，各行业合理用地需求得到保障，及时掌握全县城乡土地变更信息，进一步提高土地节约集约利用水平。实现全县矿产资源开发管理科学合理；加强基础地质工作；管理好重要地质资料；稳步推进矿山地质环境治理攻坚行动；提高地质灾害预警预报能力；掌握地面沉降动态变化数据。执法检查落实在日常，及时发现、制止违法行为，重大专项执法工作按量按质完成，维护群众合法权益。进一步增强国土资源（海洋）管理保障能力。</w:t>
      </w:r>
    </w:p>
    <w:p>
      <w:pPr>
        <w:ind w:firstLine="643" w:firstLineChars="200"/>
        <w:jc w:val="left"/>
        <w:outlineLvl w:val="0"/>
        <w:rPr>
          <w:rFonts w:hint="eastAsia" w:ascii="宋体" w:hAnsi="宋体" w:eastAsia="宋体" w:cs="宋体"/>
          <w:b/>
          <w:sz w:val="32"/>
          <w:szCs w:val="32"/>
        </w:rPr>
      </w:pPr>
    </w:p>
    <w:p>
      <w:pPr>
        <w:ind w:firstLine="643" w:firstLineChars="200"/>
        <w:jc w:val="left"/>
        <w:outlineLvl w:val="0"/>
        <w:rPr>
          <w:rFonts w:hint="eastAsia" w:ascii="宋体" w:hAnsi="宋体" w:eastAsia="宋体" w:cs="宋体"/>
          <w:b/>
          <w:sz w:val="32"/>
          <w:szCs w:val="32"/>
        </w:rPr>
      </w:pPr>
    </w:p>
    <w:p>
      <w:pPr>
        <w:ind w:firstLine="643" w:firstLineChars="200"/>
        <w:jc w:val="left"/>
        <w:outlineLvl w:val="0"/>
        <w:rPr>
          <w:rFonts w:hint="eastAsia" w:ascii="宋体" w:hAnsi="宋体" w:eastAsia="宋体" w:cs="宋体"/>
          <w:b/>
          <w:sz w:val="32"/>
          <w:szCs w:val="32"/>
        </w:rPr>
      </w:pPr>
    </w:p>
    <w:p>
      <w:pPr>
        <w:ind w:firstLine="643" w:firstLineChars="200"/>
        <w:jc w:val="left"/>
        <w:outlineLvl w:val="0"/>
        <w:rPr>
          <w:rFonts w:hint="eastAsia" w:ascii="宋体" w:hAnsi="宋体" w:eastAsia="宋体" w:cs="宋体"/>
          <w:b/>
          <w:sz w:val="32"/>
          <w:szCs w:val="32"/>
        </w:rPr>
      </w:pPr>
    </w:p>
    <w:p>
      <w:pPr>
        <w:ind w:firstLine="643" w:firstLineChars="200"/>
        <w:jc w:val="left"/>
        <w:outlineLvl w:val="0"/>
        <w:rPr>
          <w:rFonts w:hint="eastAsia" w:ascii="宋体" w:hAnsi="宋体" w:eastAsia="宋体" w:cs="宋体"/>
          <w:b/>
          <w:sz w:val="32"/>
          <w:szCs w:val="32"/>
        </w:rPr>
      </w:pPr>
    </w:p>
    <w:p>
      <w:pPr>
        <w:ind w:firstLine="643" w:firstLineChars="200"/>
        <w:jc w:val="left"/>
        <w:outlineLvl w:val="0"/>
        <w:rPr>
          <w:rFonts w:hint="eastAsia" w:ascii="宋体" w:hAnsi="宋体" w:eastAsia="宋体" w:cs="宋体"/>
          <w:b/>
          <w:sz w:val="32"/>
          <w:szCs w:val="32"/>
        </w:rPr>
      </w:pPr>
    </w:p>
    <w:p>
      <w:pPr>
        <w:ind w:firstLine="643" w:firstLineChars="200"/>
        <w:jc w:val="left"/>
        <w:outlineLvl w:val="0"/>
        <w:rPr>
          <w:rFonts w:hint="eastAsia" w:ascii="宋体" w:hAnsi="宋体" w:eastAsia="宋体" w:cs="宋体"/>
          <w:b/>
          <w:sz w:val="32"/>
          <w:szCs w:val="32"/>
        </w:rPr>
      </w:pPr>
      <w:r>
        <w:rPr>
          <w:rFonts w:hint="eastAsia" w:ascii="宋体" w:hAnsi="宋体" w:eastAsia="宋体" w:cs="宋体"/>
          <w:b/>
          <w:sz w:val="32"/>
          <w:szCs w:val="32"/>
        </w:rPr>
        <w:t>部门职责及工作活动绩效目标指标：</w:t>
      </w:r>
    </w:p>
    <w:p>
      <w:pPr>
        <w:jc w:val="center"/>
        <w:outlineLvl w:val="0"/>
        <w:rPr>
          <w:rFonts w:hint="eastAsia" w:ascii="仿宋" w:hAnsi="仿宋" w:eastAsia="仿宋" w:cs="仿宋"/>
          <w:sz w:val="32"/>
          <w:szCs w:val="24"/>
        </w:rPr>
      </w:pPr>
    </w:p>
    <w:p>
      <w:pPr>
        <w:jc w:val="center"/>
        <w:outlineLvl w:val="0"/>
        <w:rPr>
          <w:rFonts w:hint="eastAsia" w:ascii="仿宋" w:hAnsi="仿宋" w:eastAsia="仿宋" w:cs="仿宋"/>
          <w:sz w:val="32"/>
          <w:szCs w:val="24"/>
        </w:rPr>
      </w:pPr>
      <w:r>
        <w:rPr>
          <w:rFonts w:hint="eastAsia" w:ascii="仿宋" w:hAnsi="仿宋" w:eastAsia="仿宋" w:cs="仿宋"/>
          <w:sz w:val="32"/>
          <w:szCs w:val="24"/>
        </w:rPr>
        <w:t>部门职责-工作活动绩效目标</w:t>
      </w:r>
      <w:bookmarkEnd w:id="0"/>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仿宋" w:hAnsi="仿宋" w:eastAsia="仿宋" w:cs="仿宋"/>
                <w:sz w:val="18"/>
                <w:szCs w:val="18"/>
              </w:rPr>
            </w:pPr>
            <w:r>
              <w:rPr>
                <w:rFonts w:hint="eastAsia" w:ascii="仿宋" w:hAnsi="仿宋" w:eastAsia="仿宋" w:cs="仿宋"/>
                <w:sz w:val="18"/>
                <w:szCs w:val="18"/>
              </w:rPr>
              <w:t>香河县XX部门</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仿宋" w:hAnsi="仿宋" w:eastAsia="仿宋" w:cs="仿宋"/>
                <w:sz w:val="18"/>
                <w:szCs w:val="18"/>
              </w:rPr>
            </w:pPr>
            <w:r>
              <w:rPr>
                <w:rFonts w:hint="eastAsia" w:ascii="仿宋" w:hAnsi="仿宋" w:eastAsia="仿宋" w:cs="仿宋"/>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职责活动</w:t>
            </w:r>
          </w:p>
        </w:tc>
        <w:tc>
          <w:tcPr>
            <w:tcW w:w="1276" w:type="dxa"/>
            <w:vMerge w:val="restart"/>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年度预算数</w:t>
            </w:r>
          </w:p>
        </w:tc>
        <w:tc>
          <w:tcPr>
            <w:tcW w:w="2976" w:type="dxa"/>
            <w:vMerge w:val="restart"/>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内容描述</w:t>
            </w:r>
          </w:p>
        </w:tc>
        <w:tc>
          <w:tcPr>
            <w:tcW w:w="2976" w:type="dxa"/>
            <w:vMerge w:val="restart"/>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绩效目标</w:t>
            </w:r>
          </w:p>
        </w:tc>
        <w:tc>
          <w:tcPr>
            <w:tcW w:w="1417" w:type="dxa"/>
            <w:vMerge w:val="restart"/>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绩效指标</w:t>
            </w:r>
          </w:p>
        </w:tc>
        <w:tc>
          <w:tcPr>
            <w:tcW w:w="2948" w:type="dxa"/>
            <w:gridSpan w:val="4"/>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hint="eastAsia" w:ascii="仿宋" w:hAnsi="仿宋" w:eastAsia="仿宋" w:cs="仿宋"/>
                <w:sz w:val="18"/>
                <w:szCs w:val="18"/>
              </w:rPr>
            </w:pPr>
          </w:p>
        </w:tc>
        <w:tc>
          <w:tcPr>
            <w:tcW w:w="1276" w:type="dxa"/>
            <w:vMerge w:val="continue"/>
            <w:shd w:val="clear" w:color="auto" w:fill="auto"/>
            <w:vAlign w:val="center"/>
          </w:tcPr>
          <w:p>
            <w:pPr>
              <w:spacing w:line="300" w:lineRule="exact"/>
              <w:jc w:val="left"/>
              <w:outlineLvl w:val="0"/>
              <w:rPr>
                <w:rFonts w:hint="eastAsia" w:ascii="仿宋" w:hAnsi="仿宋" w:eastAsia="仿宋" w:cs="仿宋"/>
                <w:sz w:val="18"/>
                <w:szCs w:val="18"/>
              </w:rPr>
            </w:pPr>
          </w:p>
        </w:tc>
        <w:tc>
          <w:tcPr>
            <w:tcW w:w="2976" w:type="dxa"/>
            <w:vMerge w:val="continue"/>
            <w:shd w:val="clear" w:color="auto" w:fill="auto"/>
            <w:vAlign w:val="center"/>
          </w:tcPr>
          <w:p>
            <w:pPr>
              <w:spacing w:line="300" w:lineRule="exact"/>
              <w:jc w:val="left"/>
              <w:outlineLvl w:val="0"/>
              <w:rPr>
                <w:rFonts w:hint="eastAsia" w:ascii="仿宋" w:hAnsi="仿宋" w:eastAsia="仿宋" w:cs="仿宋"/>
                <w:sz w:val="18"/>
                <w:szCs w:val="18"/>
              </w:rPr>
            </w:pPr>
          </w:p>
        </w:tc>
        <w:tc>
          <w:tcPr>
            <w:tcW w:w="2976" w:type="dxa"/>
            <w:vMerge w:val="continue"/>
            <w:shd w:val="clear" w:color="auto" w:fill="auto"/>
            <w:vAlign w:val="center"/>
          </w:tcPr>
          <w:p>
            <w:pPr>
              <w:spacing w:line="300" w:lineRule="exact"/>
              <w:jc w:val="left"/>
              <w:outlineLvl w:val="0"/>
              <w:rPr>
                <w:rFonts w:hint="eastAsia" w:ascii="仿宋" w:hAnsi="仿宋" w:eastAsia="仿宋" w:cs="仿宋"/>
                <w:sz w:val="18"/>
                <w:szCs w:val="18"/>
              </w:rPr>
            </w:pPr>
          </w:p>
        </w:tc>
        <w:tc>
          <w:tcPr>
            <w:tcW w:w="1417" w:type="dxa"/>
            <w:vMerge w:val="continue"/>
            <w:shd w:val="clear" w:color="auto" w:fill="auto"/>
            <w:vAlign w:val="center"/>
          </w:tcPr>
          <w:p>
            <w:pPr>
              <w:spacing w:line="300" w:lineRule="exact"/>
              <w:jc w:val="left"/>
              <w:outlineLvl w:val="0"/>
              <w:rPr>
                <w:rFonts w:hint="eastAsia" w:ascii="仿宋" w:hAnsi="仿宋" w:eastAsia="仿宋" w:cs="仿宋"/>
                <w:sz w:val="18"/>
                <w:szCs w:val="18"/>
              </w:rPr>
            </w:pPr>
          </w:p>
        </w:tc>
        <w:tc>
          <w:tcPr>
            <w:tcW w:w="737" w:type="dxa"/>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优</w:t>
            </w:r>
          </w:p>
        </w:tc>
        <w:tc>
          <w:tcPr>
            <w:tcW w:w="737" w:type="dxa"/>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良</w:t>
            </w:r>
          </w:p>
        </w:tc>
        <w:tc>
          <w:tcPr>
            <w:tcW w:w="737" w:type="dxa"/>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中</w:t>
            </w:r>
          </w:p>
        </w:tc>
        <w:tc>
          <w:tcPr>
            <w:tcW w:w="737" w:type="dxa"/>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rPr>
            </w:pPr>
            <w:r>
              <w:rPr>
                <w:rFonts w:hint="eastAsia" w:ascii="仿宋" w:hAnsi="仿宋" w:eastAsia="仿宋" w:cs="仿宋"/>
                <w:b/>
              </w:rPr>
              <w:t>土地资源管理</w:t>
            </w:r>
          </w:p>
        </w:tc>
        <w:tc>
          <w:tcPr>
            <w:tcW w:w="1276" w:type="dxa"/>
            <w:vAlign w:val="center"/>
          </w:tcPr>
          <w:p>
            <w:pPr>
              <w:spacing w:line="300" w:lineRule="exact"/>
              <w:jc w:val="left"/>
              <w:rPr>
                <w:rFonts w:hint="eastAsia" w:ascii="仿宋" w:hAnsi="仿宋" w:eastAsia="仿宋" w:cs="仿宋"/>
              </w:rPr>
            </w:pPr>
            <w:r>
              <w:rPr>
                <w:rFonts w:hint="eastAsia" w:ascii="仿宋" w:hAnsi="仿宋" w:eastAsia="仿宋" w:cs="仿宋"/>
              </w:rPr>
              <w:t>44911</w:t>
            </w:r>
            <w:r>
              <w:rPr>
                <w:rFonts w:hint="eastAsia" w:ascii="仿宋" w:hAnsi="仿宋" w:eastAsia="仿宋" w:cs="仿宋"/>
                <w:lang w:val="en-US" w:eastAsia="zh-CN"/>
              </w:rPr>
              <w:t>.</w:t>
            </w:r>
            <w:r>
              <w:rPr>
                <w:rFonts w:hint="eastAsia" w:ascii="仿宋" w:hAnsi="仿宋" w:eastAsia="仿宋" w:cs="仿宋"/>
              </w:rPr>
              <w:t>06</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组织实施耕地与基本农田保护工作,组织建设用地审批，做好地籍管理工作和土地利用管理工作。</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实现基本农田面积不减少，各行业合理用地需求得到保障，及时掌握全县城乡土地变更信息，进一步提高土地节约集约利用水平。</w:t>
            </w:r>
          </w:p>
        </w:tc>
        <w:tc>
          <w:tcPr>
            <w:tcW w:w="1417" w:type="dxa"/>
            <w:vAlign w:val="center"/>
          </w:tcPr>
          <w:p>
            <w:pPr>
              <w:spacing w:line="300" w:lineRule="exact"/>
              <w:jc w:val="left"/>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耕地与基本农田保护</w:t>
            </w:r>
          </w:p>
        </w:tc>
        <w:tc>
          <w:tcPr>
            <w:tcW w:w="12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44030</w:t>
            </w:r>
            <w:r>
              <w:rPr>
                <w:rFonts w:hint="eastAsia" w:ascii="仿宋" w:hAnsi="仿宋" w:eastAsia="仿宋" w:cs="仿宋"/>
                <w:lang w:eastAsia="zh-CN"/>
              </w:rPr>
              <w:t>.</w:t>
            </w:r>
            <w:r>
              <w:rPr>
                <w:rFonts w:hint="eastAsia" w:ascii="仿宋" w:hAnsi="仿宋" w:eastAsia="仿宋" w:cs="仿宋"/>
              </w:rPr>
              <w:t>63</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开展全县基本农田保护和土地整理、复垦、开发工作，监测耕地质量等边变化，研究耕地保护相关制度。</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实现全县基本农田面积不减少，确保全县耕地占补平衡，掌握全县耕地质量变化情况。</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总量平衡面积实测率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占补平衡数据准确率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总量平衡数据准确率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耕地质量等别更新与检测完成率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土地复垦方案审查通过率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占补平衡面积实测率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地籍管理</w:t>
            </w:r>
          </w:p>
        </w:tc>
        <w:tc>
          <w:tcPr>
            <w:tcW w:w="12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658</w:t>
            </w:r>
            <w:r>
              <w:rPr>
                <w:rFonts w:hint="eastAsia" w:ascii="仿宋" w:hAnsi="仿宋" w:eastAsia="仿宋" w:cs="仿宋"/>
                <w:lang w:val="en-US" w:eastAsia="zh-CN"/>
              </w:rPr>
              <w:t>.</w:t>
            </w:r>
            <w:r>
              <w:rPr>
                <w:rFonts w:hint="eastAsia" w:ascii="仿宋" w:hAnsi="仿宋" w:eastAsia="仿宋" w:cs="仿宋"/>
              </w:rPr>
              <w:t>78</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开展农村集体土地确权登记发证与土地变更调查，组织全县的不动产统一登记工作，调查掌握全县耕地后备资源。</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保持全县土地变更数据的现势性和连续性，为国土资源各类审批业务提供数据和图件支持；实现农村集体土地确权登记发证和不动产登记业务流程的信息化和规范化；掌握全县耕地后备资源的分布情况，为后续资源的利用奠定基础</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地籍管理完成率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土地变更调查完成率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土地利用管理</w:t>
            </w:r>
          </w:p>
        </w:tc>
        <w:tc>
          <w:tcPr>
            <w:tcW w:w="12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221</w:t>
            </w:r>
            <w:r>
              <w:rPr>
                <w:rFonts w:hint="eastAsia" w:ascii="仿宋" w:hAnsi="仿宋" w:eastAsia="仿宋" w:cs="仿宋"/>
                <w:lang w:eastAsia="zh-CN"/>
              </w:rPr>
              <w:t>.</w:t>
            </w:r>
            <w:r>
              <w:rPr>
                <w:rFonts w:hint="eastAsia" w:ascii="仿宋" w:hAnsi="仿宋" w:eastAsia="仿宋" w:cs="仿宋"/>
              </w:rPr>
              <w:t>65</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监测全县地价和土地市场动态，管理和监督城乡建设用地供应、政府土地储备、土地开发和节约集约利用，组织实施城乡建设用地增减挂钩。</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对全县地价和土地市场进行动态监测，为县政府宏观调控和稳定土地市场提供决策依据；掌握评价土地利用现状和节约集约程度，为科学管地用地提供依据。</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城乡建设用地增减挂钩工作完成率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评价成果县级汇总与分析更新完成情况</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监测分析工作次数</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4</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3</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2</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利用现状掌握率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rPr>
            </w:pPr>
            <w:r>
              <w:rPr>
                <w:rFonts w:hint="eastAsia" w:ascii="仿宋" w:hAnsi="仿宋" w:eastAsia="仿宋" w:cs="仿宋"/>
                <w:b/>
              </w:rPr>
              <w:t>矿产资源管理与地质环境保护</w:t>
            </w:r>
          </w:p>
        </w:tc>
        <w:tc>
          <w:tcPr>
            <w:tcW w:w="1276" w:type="dxa"/>
            <w:vAlign w:val="center"/>
          </w:tcPr>
          <w:p>
            <w:pPr>
              <w:spacing w:line="300" w:lineRule="exact"/>
              <w:jc w:val="left"/>
              <w:rPr>
                <w:rFonts w:hint="eastAsia" w:ascii="仿宋" w:hAnsi="仿宋" w:eastAsia="仿宋" w:cs="仿宋"/>
              </w:rPr>
            </w:pP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负责全县矿产资源开发管理，组织实施矿产资源勘查，推动地质灾害防治地质环境恢复治理和地质遗迹保护工作，开展地下水监测和地热、矿泉水管理。</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实现全县矿产资源开发管理科学合理；加强基础地质工作；管理好重要地质资料；稳步推进矿山地质环境治理攻坚行动；提高地质灾害预警预报能力；掌握地面沉降动态变化数据。</w:t>
            </w:r>
          </w:p>
        </w:tc>
        <w:tc>
          <w:tcPr>
            <w:tcW w:w="1417" w:type="dxa"/>
            <w:vAlign w:val="center"/>
          </w:tcPr>
          <w:p>
            <w:pPr>
              <w:spacing w:line="300" w:lineRule="exact"/>
              <w:jc w:val="left"/>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矿产资源开发与保护</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组织实施矿业管理工作，矿产资源保护和保护性开采特定矿种的管理事项。</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为矿产开发管理工作和矿业经济分析提供数据基础；保证矿产资源开发利用方案的科学、合理、有效，把好资源开发利用的源头关；推进矿产资源合理勘查，减低勘查投资风险。</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矿产勘查实施方案评审率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矿产开发利用方案通过率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地质勘查</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组织全县矿产资源调查评价，编制地质勘查规划并监督检查执行情况，管理地质勘查项目，组织实施重大地质勘查项目，管理地质勘查行业和地勘单位资质，组织实施全县找矿突破战略行动</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加强我县基础地质和地质找矿工作，服务地质勘查行业，提高我县经济和社会发展资源保障程度，引导社会资本有序投入地质勘查，推进地质勘查项目管理管能力。</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勘查设计工作量完成率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地勘项目管理和监管工作完成率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矿产资源储量管理</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做好矿产资源储量评审、登记统计等工作，加强建设项目压覆矿产资源查询和地质成果资料管理工作。强化矿山资源储量动态监测及矿业权监督管理，做好矿山督察，推广先进适用技术，推进矿产资源节约与综合利用。</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为矿产资源管理提供储量依据，维护国家矿产资源所有权益，掌控资源储量家底，提供宏观调控依据，为建设项目选址和压覆矿产资源调查提供决策依据，提高矿产资源综合利用能力，保护重要地质资料成果，降低地质工作风险，减少重复工作和资金浪费。</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地质资料管理工作完成率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矿产资源储量管理基础工作完成率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矿产资源勘查和开发利用督察工作完成率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地质环境保护</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开展全县地质环境综合调查评价,加强矿山地质环境保护工作，开展矿山地质环境调查评价和监测,建立矿山环境动态数据库；监督管理古生物化石、地质遗迹、矿业遗迹、海洋等重要保护区与保护地。</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掌握全县矿山环境动态变化，为矿山环境保护与管理提供基础数据；推进矿山环境治理攻坚行动有序开展；对重要地质遗迹进行有效保护。</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矿山环境整治完成率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地质遗迹保护率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矿山地质环境动态监测率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矿山环境动态数据库建设工作完成率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地质灾害防治</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组织实施地质灾害的防治工作，建立地质灾害调查评价、监测预警、应急和治理避让体系。</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提高地质灾害预警预报水平；做好汛期地质灾害防治工作，确保人民生命财产安全；为做好地质灾害防治工作提供科学依据。</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风险预警预报率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地质灾害预警预报能力</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隐患点排查核查率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防治方案制定率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地下水监测与地热、矿泉水管理</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开展地下水和地面沉降监测，服务于地下水超采综合治理、地面沉降防治和地下水污染防治。开展地热、浅层地温能和矿泉水资源调查评价、监测与数据库建设。</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掌握年度全县地面沉降动态变化，为地下水压采和地面沉降防治提供基础数据。</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监测数据有效利用率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形成</w:t>
            </w: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未形成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地面沉降监测率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地下水监测率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rPr>
            </w:pPr>
            <w:r>
              <w:rPr>
                <w:rFonts w:hint="eastAsia" w:ascii="仿宋" w:hAnsi="仿宋" w:eastAsia="仿宋" w:cs="仿宋"/>
                <w:b/>
              </w:rPr>
              <w:t>海洋资源管理</w:t>
            </w:r>
          </w:p>
        </w:tc>
        <w:tc>
          <w:tcPr>
            <w:tcW w:w="1276" w:type="dxa"/>
            <w:vAlign w:val="center"/>
          </w:tcPr>
          <w:p>
            <w:pPr>
              <w:spacing w:line="300" w:lineRule="exact"/>
              <w:jc w:val="left"/>
              <w:rPr>
                <w:rFonts w:hint="eastAsia" w:ascii="仿宋" w:hAnsi="仿宋" w:eastAsia="仿宋" w:cs="仿宋"/>
              </w:rPr>
            </w:pP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加强海域使用、海洋环境保护及海洋综合管理工作。</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管理全县海岸线，科学合理用海；保护海洋环境，减少入海污染；保护海岛生态系统，合理利用海岛资源，及时掌握海洋经济发展动态。</w:t>
            </w:r>
          </w:p>
        </w:tc>
        <w:tc>
          <w:tcPr>
            <w:tcW w:w="1417" w:type="dxa"/>
            <w:vAlign w:val="center"/>
          </w:tcPr>
          <w:p>
            <w:pPr>
              <w:spacing w:line="300" w:lineRule="exact"/>
              <w:jc w:val="left"/>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海域使用管理</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编制实施海洋功能区划和海岸保护利用规划，开展海域海岸带整治使用修复工作。</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做好海域海岸带整治修复工作；监测海岸线和重要河口等空间资源利用情况。</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监视监测海域使用情况信息及时掌握率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海域使用监测率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海域海岸带整治修复工作完成率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海洋生态环境保护与预报减灾</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强化重点海洋环境综合整治和海洋环境监视监测工作，开展海洋防灾减灾与生态保护工作，编制专项环境信息。</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监测与评价海域环境质量现状，全面近岸海域环境质量状况、海洋功能区环境状况、近岸生态系统健康状况和主要入海污染源状况。掌握我所辖海域海洋水文气象状况，为海洋防灾减灾提供技术支撑。</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监测数据合格率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≥70%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海洋环境监测数据数量完成率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海岛管理和海洋经济服务</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加强海岛监视监测，保护海岛生态系统，合理开发利用海岛自然资源。开展海洋经济发展研究，做好海洋经济运行监测评估、统计分析和信息发布。</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海岛生态环境不断改善，开发利用秩序日益规范，自然资源开发利用科学合理。海洋经济发展情况掌握及时。</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海洋经济运行监测评估、统计分析和信息发布工作完成率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海岛生态环境保护修复率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海岛监视监测率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≥60%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海洋经济发展研究工作完成率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rPr>
            </w:pPr>
            <w:r>
              <w:rPr>
                <w:rFonts w:hint="eastAsia" w:ascii="仿宋" w:hAnsi="仿宋" w:eastAsia="仿宋" w:cs="仿宋"/>
                <w:b/>
              </w:rPr>
              <w:t>国土资源执法与监察</w:t>
            </w:r>
          </w:p>
        </w:tc>
        <w:tc>
          <w:tcPr>
            <w:tcW w:w="1276" w:type="dxa"/>
            <w:vAlign w:val="center"/>
          </w:tcPr>
          <w:p>
            <w:pPr>
              <w:spacing w:line="300" w:lineRule="exact"/>
              <w:jc w:val="left"/>
              <w:rPr>
                <w:rFonts w:hint="eastAsia" w:ascii="仿宋" w:hAnsi="仿宋" w:eastAsia="仿宋" w:cs="仿宋"/>
              </w:rPr>
            </w:pP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强化全县国土资源执法监察工作,提高国土资源执法能力。</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执法检查落实在日常，及时发现、制止违法行为，重大专项执法工作按量按质完成，维护群众合法权益。</w:t>
            </w:r>
          </w:p>
        </w:tc>
        <w:tc>
          <w:tcPr>
            <w:tcW w:w="1417" w:type="dxa"/>
            <w:vAlign w:val="center"/>
          </w:tcPr>
          <w:p>
            <w:pPr>
              <w:spacing w:line="300" w:lineRule="exact"/>
              <w:jc w:val="left"/>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r>
      <w:tr>
        <w:tblPrEx>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rPr>
            </w:pPr>
            <w:r>
              <w:rPr>
                <w:rFonts w:hint="eastAsia" w:ascii="仿宋" w:hAnsi="仿宋" w:eastAsia="仿宋" w:cs="仿宋"/>
                <w:b/>
              </w:rPr>
              <w:t>　　国土资源执法监察</w:t>
            </w:r>
          </w:p>
        </w:tc>
        <w:tc>
          <w:tcPr>
            <w:tcW w:w="1276" w:type="dxa"/>
            <w:vMerge w:val="restart"/>
            <w:vAlign w:val="center"/>
          </w:tcPr>
          <w:p>
            <w:pPr>
              <w:spacing w:line="300" w:lineRule="exact"/>
              <w:jc w:val="left"/>
              <w:rPr>
                <w:rFonts w:hint="eastAsia" w:ascii="仿宋" w:hAnsi="仿宋" w:eastAsia="仿宋" w:cs="仿宋"/>
              </w:rPr>
            </w:pP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及时发现、制止国土资源违法行为。依法查处案件，推进国土资源基层所标准化建设。</w:t>
            </w:r>
          </w:p>
        </w:tc>
        <w:tc>
          <w:tcPr>
            <w:tcW w:w="2976" w:type="dxa"/>
            <w:vMerge w:val="restart"/>
            <w:vAlign w:val="center"/>
          </w:tcPr>
          <w:p>
            <w:pPr>
              <w:spacing w:line="300" w:lineRule="exact"/>
              <w:jc w:val="left"/>
              <w:rPr>
                <w:rFonts w:hint="eastAsia" w:ascii="仿宋" w:hAnsi="仿宋" w:eastAsia="仿宋" w:cs="仿宋"/>
              </w:rPr>
            </w:pPr>
            <w:r>
              <w:rPr>
                <w:rFonts w:hint="eastAsia" w:ascii="仿宋" w:hAnsi="仿宋" w:eastAsia="仿宋" w:cs="仿宋"/>
              </w:rPr>
              <w:t>加强日常执法监管，将违法解决在初始、遏制在萌芽；做好重点执法专项行动，严厉打击违法，维护群众合法权益。</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举报线索处置率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≥99%</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重大典型违法案件调查反馈率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≥85%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基础性保障项目完成率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rPr>
            </w:pPr>
          </w:p>
        </w:tc>
        <w:tc>
          <w:tcPr>
            <w:tcW w:w="12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2976" w:type="dxa"/>
            <w:vMerge w:val="continue"/>
            <w:vAlign w:val="center"/>
          </w:tcPr>
          <w:p>
            <w:pPr>
              <w:spacing w:line="300" w:lineRule="exact"/>
              <w:jc w:val="left"/>
              <w:rPr>
                <w:rFonts w:hint="eastAsia" w:ascii="仿宋" w:hAnsi="仿宋" w:eastAsia="仿宋" w:cs="仿宋"/>
              </w:rPr>
            </w:pP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专项执法工作完成率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rPr>
            </w:pPr>
            <w:r>
              <w:rPr>
                <w:rFonts w:hint="eastAsia" w:ascii="仿宋" w:hAnsi="仿宋" w:eastAsia="仿宋" w:cs="仿宋"/>
                <w:b/>
              </w:rPr>
              <w:t>国土资源政务管理</w:t>
            </w:r>
          </w:p>
        </w:tc>
        <w:tc>
          <w:tcPr>
            <w:tcW w:w="1276" w:type="dxa"/>
            <w:vAlign w:val="center"/>
          </w:tcPr>
          <w:p>
            <w:pPr>
              <w:spacing w:line="300" w:lineRule="exact"/>
              <w:jc w:val="left"/>
              <w:rPr>
                <w:rFonts w:hint="eastAsia" w:ascii="仿宋" w:hAnsi="仿宋" w:eastAsia="仿宋" w:cs="仿宋"/>
              </w:rPr>
            </w:pPr>
            <w:r>
              <w:rPr>
                <w:rFonts w:hint="eastAsia" w:ascii="仿宋" w:hAnsi="仿宋" w:eastAsia="仿宋" w:cs="仿宋"/>
              </w:rPr>
              <w:t>1000</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负责国土资源系统综合业务管理和机关综合事务管理。</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进一步增强国土资源（海洋）管理保障能力。</w:t>
            </w:r>
          </w:p>
        </w:tc>
        <w:tc>
          <w:tcPr>
            <w:tcW w:w="1417" w:type="dxa"/>
            <w:vAlign w:val="center"/>
          </w:tcPr>
          <w:p>
            <w:pPr>
              <w:spacing w:line="300" w:lineRule="exact"/>
              <w:jc w:val="left"/>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c>
          <w:tcPr>
            <w:tcW w:w="737" w:type="dxa"/>
            <w:vAlign w:val="center"/>
          </w:tcPr>
          <w:p>
            <w:pPr>
              <w:spacing w:line="300" w:lineRule="exact"/>
              <w:jc w:val="center"/>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rPr>
            </w:pPr>
            <w:r>
              <w:rPr>
                <w:rFonts w:hint="eastAsia" w:ascii="仿宋" w:hAnsi="仿宋" w:eastAsia="仿宋" w:cs="仿宋"/>
                <w:b/>
              </w:rPr>
              <w:t>　　综合业务管理</w:t>
            </w:r>
          </w:p>
        </w:tc>
        <w:tc>
          <w:tcPr>
            <w:tcW w:w="1276" w:type="dxa"/>
            <w:vAlign w:val="center"/>
          </w:tcPr>
          <w:p>
            <w:pPr>
              <w:spacing w:line="300" w:lineRule="exact"/>
              <w:jc w:val="left"/>
              <w:rPr>
                <w:rFonts w:hint="eastAsia" w:ascii="仿宋" w:hAnsi="仿宋" w:eastAsia="仿宋" w:cs="仿宋"/>
              </w:rPr>
            </w:pP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制定编制全县国土资源规划，落实相关政策法规，开展国土资源科技发展研究等。</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规范做好国土资源（海洋）各类规划编制和实施，用地计划、用地预审管理，绿色矿山、示范基地建设，全面推行国土资源（海洋）工作依法行政，推动普法工作落实推进国土资源（海洋）科技的应用和推广。</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综合业务管理工作完成率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rPr>
            </w:pPr>
            <w:r>
              <w:rPr>
                <w:rFonts w:hint="eastAsia" w:ascii="仿宋" w:hAnsi="仿宋" w:eastAsia="仿宋" w:cs="仿宋"/>
                <w:b/>
              </w:rPr>
              <w:t>　　综合事务管理</w:t>
            </w:r>
          </w:p>
        </w:tc>
        <w:tc>
          <w:tcPr>
            <w:tcW w:w="1276" w:type="dxa"/>
            <w:vAlign w:val="center"/>
          </w:tcPr>
          <w:p>
            <w:pPr>
              <w:spacing w:line="300" w:lineRule="exact"/>
              <w:jc w:val="left"/>
              <w:rPr>
                <w:rFonts w:hint="eastAsia" w:ascii="仿宋" w:hAnsi="仿宋" w:eastAsia="仿宋" w:cs="仿宋"/>
              </w:rPr>
            </w:pPr>
            <w:r>
              <w:rPr>
                <w:rFonts w:hint="eastAsia" w:ascii="仿宋" w:hAnsi="仿宋" w:eastAsia="仿宋" w:cs="仿宋"/>
              </w:rPr>
              <w:t>1000</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做好国土资源相关综合性事务管理，保证行政工作高效有序运行。</w:t>
            </w:r>
          </w:p>
        </w:tc>
        <w:tc>
          <w:tcPr>
            <w:tcW w:w="2976" w:type="dxa"/>
            <w:vAlign w:val="center"/>
          </w:tcPr>
          <w:p>
            <w:pPr>
              <w:spacing w:line="300" w:lineRule="exact"/>
              <w:jc w:val="left"/>
              <w:rPr>
                <w:rFonts w:hint="eastAsia" w:ascii="仿宋" w:hAnsi="仿宋" w:eastAsia="仿宋" w:cs="仿宋"/>
              </w:rPr>
            </w:pPr>
            <w:r>
              <w:rPr>
                <w:rFonts w:hint="eastAsia" w:ascii="仿宋" w:hAnsi="仿宋" w:eastAsia="仿宋" w:cs="仿宋"/>
              </w:rPr>
              <w:t>提高国土资源（海洋）事业发展保障能力。</w:t>
            </w:r>
          </w:p>
        </w:tc>
        <w:tc>
          <w:tcPr>
            <w:tcW w:w="1417" w:type="dxa"/>
            <w:vAlign w:val="center"/>
          </w:tcPr>
          <w:p>
            <w:pPr>
              <w:spacing w:line="300" w:lineRule="exact"/>
              <w:jc w:val="left"/>
              <w:rPr>
                <w:rFonts w:hint="eastAsia" w:ascii="仿宋" w:hAnsi="仿宋" w:eastAsia="仿宋" w:cs="仿宋"/>
              </w:rPr>
            </w:pPr>
            <w:r>
              <w:rPr>
                <w:rFonts w:hint="eastAsia" w:ascii="仿宋" w:hAnsi="仿宋" w:eastAsia="仿宋" w:cs="仿宋"/>
              </w:rPr>
              <w:t>综合事务管理工作完成率</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100%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≥95%</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≥90%</w:t>
            </w:r>
          </w:p>
        </w:tc>
        <w:tc>
          <w:tcPr>
            <w:tcW w:w="737" w:type="dxa"/>
            <w:vAlign w:val="center"/>
          </w:tcPr>
          <w:p>
            <w:pPr>
              <w:spacing w:line="300" w:lineRule="exact"/>
              <w:jc w:val="center"/>
              <w:rPr>
                <w:rFonts w:hint="eastAsia" w:ascii="仿宋" w:hAnsi="仿宋" w:eastAsia="仿宋" w:cs="仿宋"/>
              </w:rPr>
            </w:pPr>
            <w:r>
              <w:rPr>
                <w:rFonts w:hint="eastAsia" w:ascii="仿宋" w:hAnsi="仿宋" w:eastAsia="仿宋" w:cs="仿宋"/>
              </w:rPr>
              <w:t>&lt;90%</w:t>
            </w:r>
          </w:p>
        </w:tc>
      </w:tr>
    </w:tbl>
    <w:p>
      <w:pPr>
        <w:autoSpaceDE w:val="0"/>
        <w:autoSpaceDN w:val="0"/>
        <w:adjustRightInd w:val="0"/>
        <w:ind w:left="200"/>
        <w:jc w:val="left"/>
        <w:rPr>
          <w:rFonts w:hint="eastAsia" w:ascii="仿宋" w:hAnsi="仿宋" w:eastAsia="仿宋" w:cs="仿宋"/>
          <w:kern w:val="0"/>
          <w:sz w:val="18"/>
          <w:szCs w:val="18"/>
          <w:lang w:val="zh-CN"/>
        </w:rPr>
      </w:pPr>
    </w:p>
    <w:p>
      <w:pPr>
        <w:ind w:firstLine="640"/>
        <w:rPr>
          <w:rFonts w:hint="eastAsia" w:ascii="仿宋" w:hAnsi="仿宋" w:eastAsia="仿宋" w:cs="仿宋"/>
          <w:sz w:val="32"/>
          <w:szCs w:val="32"/>
        </w:rPr>
      </w:pPr>
      <w:r>
        <w:rPr>
          <w:rFonts w:hint="eastAsia" w:ascii="宋体" w:hAnsi="宋体" w:eastAsia="宋体" w:cs="宋体"/>
          <w:b/>
          <w:bCs/>
          <w:sz w:val="32"/>
          <w:szCs w:val="32"/>
        </w:rPr>
        <w:t>六、政府采购预算情况</w:t>
      </w:r>
    </w:p>
    <w:p>
      <w:pPr>
        <w:ind w:firstLine="640"/>
        <w:rPr>
          <w:rFonts w:hint="eastAsia" w:ascii="仿宋" w:hAnsi="仿宋" w:eastAsia="仿宋" w:cs="仿宋"/>
          <w:sz w:val="32"/>
          <w:szCs w:val="32"/>
          <w:highlight w:val="none"/>
        </w:rPr>
      </w:pPr>
      <w:bookmarkStart w:id="1" w:name="_Toc471398468"/>
      <w:r>
        <w:rPr>
          <w:rFonts w:hint="eastAsia" w:ascii="仿宋" w:hAnsi="仿宋" w:eastAsia="仿宋" w:cs="仿宋"/>
          <w:sz w:val="32"/>
          <w:szCs w:val="32"/>
        </w:rPr>
        <w:t xml:space="preserve">   </w:t>
      </w:r>
      <w:r>
        <w:rPr>
          <w:rFonts w:hint="eastAsia" w:ascii="仿宋" w:hAnsi="仿宋" w:eastAsia="仿宋" w:cs="仿宋"/>
          <w:sz w:val="32"/>
          <w:szCs w:val="32"/>
          <w:highlight w:val="none"/>
        </w:rPr>
        <w:t>2017年，本部门没有安排政府采购预算。</w:t>
      </w:r>
      <w:bookmarkEnd w:id="1"/>
    </w:p>
    <w:p>
      <w:pPr>
        <w:ind w:firstLine="640"/>
        <w:rPr>
          <w:rFonts w:hint="eastAsia" w:ascii="宋体" w:hAnsi="宋体" w:eastAsia="宋体" w:cs="宋体"/>
          <w:b/>
          <w:bCs/>
          <w:sz w:val="32"/>
          <w:szCs w:val="32"/>
        </w:rPr>
      </w:pPr>
    </w:p>
    <w:p>
      <w:pPr>
        <w:ind w:firstLine="640"/>
        <w:rPr>
          <w:rFonts w:hint="eastAsia" w:ascii="宋体" w:hAnsi="宋体" w:eastAsia="宋体" w:cs="宋体"/>
          <w:b/>
          <w:bCs/>
          <w:sz w:val="32"/>
          <w:szCs w:val="32"/>
        </w:rPr>
      </w:pPr>
      <w:r>
        <w:rPr>
          <w:rFonts w:hint="eastAsia" w:ascii="宋体" w:hAnsi="宋体" w:eastAsia="宋体" w:cs="宋体"/>
          <w:b/>
          <w:bCs/>
          <w:sz w:val="32"/>
          <w:szCs w:val="32"/>
        </w:rPr>
        <w:t>七、国有资产信息</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香河县</w:t>
      </w:r>
      <w:r>
        <w:rPr>
          <w:rFonts w:hint="eastAsia" w:ascii="仿宋" w:hAnsi="仿宋" w:eastAsia="仿宋" w:cs="仿宋"/>
          <w:sz w:val="32"/>
          <w:szCs w:val="32"/>
          <w:lang w:eastAsia="zh-CN"/>
        </w:rPr>
        <w:t>国土资源局</w:t>
      </w:r>
      <w:r>
        <w:rPr>
          <w:rFonts w:hint="eastAsia" w:ascii="仿宋" w:hAnsi="仿宋" w:eastAsia="仿宋" w:cs="仿宋"/>
          <w:sz w:val="32"/>
          <w:szCs w:val="32"/>
        </w:rPr>
        <w:t>（含所属单位）上年末固定资产金额为982</w:t>
      </w:r>
      <w:r>
        <w:rPr>
          <w:rFonts w:hint="eastAsia" w:ascii="仿宋" w:hAnsi="仿宋" w:eastAsia="仿宋" w:cs="仿宋"/>
          <w:sz w:val="32"/>
          <w:szCs w:val="32"/>
          <w:lang w:val="en-US" w:eastAsia="zh-CN"/>
        </w:rPr>
        <w:t>.</w:t>
      </w:r>
      <w:r>
        <w:rPr>
          <w:rFonts w:hint="eastAsia" w:ascii="仿宋" w:hAnsi="仿宋" w:eastAsia="仿宋" w:cs="仿宋"/>
          <w:sz w:val="32"/>
          <w:szCs w:val="32"/>
        </w:rPr>
        <w:t>51万元，本年度各单位（处室）</w:t>
      </w:r>
      <w:r>
        <w:rPr>
          <w:rFonts w:hint="eastAsia" w:ascii="仿宋" w:hAnsi="仿宋" w:eastAsia="仿宋" w:cs="仿宋"/>
          <w:sz w:val="32"/>
          <w:szCs w:val="32"/>
          <w:lang w:eastAsia="zh-CN"/>
        </w:rPr>
        <w:t>无</w:t>
      </w:r>
      <w:r>
        <w:rPr>
          <w:rFonts w:hint="eastAsia" w:ascii="仿宋" w:hAnsi="仿宋" w:eastAsia="仿宋" w:cs="仿宋"/>
          <w:sz w:val="32"/>
          <w:szCs w:val="32"/>
        </w:rPr>
        <w:t>拟购置固定资产。详见下表。</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hint="eastAsia" w:ascii="仿宋" w:hAnsi="仿宋" w:eastAsia="仿宋" w:cs="仿宋"/>
                <w:kern w:val="0"/>
                <w:sz w:val="22"/>
              </w:rPr>
            </w:pPr>
            <w:r>
              <w:rPr>
                <w:rFonts w:hint="eastAsia" w:ascii="仿宋" w:hAnsi="仿宋" w:eastAsia="仿宋" w:cs="仿宋"/>
                <w:kern w:val="0"/>
                <w:sz w:val="22"/>
              </w:rPr>
              <w:t>编制部门：香河县</w:t>
            </w:r>
            <w:r>
              <w:rPr>
                <w:rFonts w:hint="eastAsia" w:ascii="仿宋" w:hAnsi="仿宋" w:eastAsia="仿宋" w:cs="仿宋"/>
                <w:kern w:val="0"/>
                <w:sz w:val="22"/>
                <w:lang w:eastAsia="zh-CN"/>
              </w:rPr>
              <w:t>国土资源局</w:t>
            </w:r>
          </w:p>
        </w:tc>
        <w:tc>
          <w:tcPr>
            <w:tcW w:w="5103" w:type="dxa"/>
            <w:tcBorders>
              <w:top w:val="nil"/>
              <w:left w:val="nil"/>
              <w:bottom w:val="nil"/>
              <w:right w:val="nil"/>
            </w:tcBorders>
            <w:shd w:val="clear" w:color="auto" w:fill="auto"/>
            <w:vAlign w:val="center"/>
          </w:tcPr>
          <w:p>
            <w:pPr>
              <w:widowControl/>
              <w:jc w:val="left"/>
              <w:rPr>
                <w:rFonts w:hint="eastAsia" w:ascii="仿宋" w:hAnsi="仿宋" w:eastAsia="仿宋" w:cs="仿宋"/>
                <w:kern w:val="0"/>
                <w:sz w:val="22"/>
              </w:rPr>
            </w:pPr>
            <w:r>
              <w:rPr>
                <w:rFonts w:hint="eastAsia" w:ascii="仿宋" w:hAnsi="仿宋" w:eastAsia="仿宋" w:cs="仿宋"/>
                <w:kern w:val="0"/>
                <w:sz w:val="22"/>
              </w:rPr>
              <w:t xml:space="preserve">截止时间：2016年12月31日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2"/>
              </w:rPr>
            </w:pPr>
            <w:r>
              <w:rPr>
                <w:rFonts w:hint="eastAsia" w:ascii="仿宋" w:hAnsi="仿宋" w:eastAsia="仿宋" w:cs="仿宋"/>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2"/>
              </w:rPr>
            </w:pPr>
            <w:r>
              <w:rPr>
                <w:rFonts w:hint="eastAsia" w:ascii="仿宋" w:hAnsi="仿宋" w:eastAsia="仿宋" w:cs="仿宋"/>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2"/>
              </w:rPr>
            </w:pPr>
            <w:r>
              <w:rPr>
                <w:rFonts w:hint="eastAsia" w:ascii="仿宋" w:hAnsi="仿宋" w:eastAsia="仿宋" w:cs="仿宋"/>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lang w:val="en-US" w:eastAsia="zh-CN"/>
              </w:rPr>
            </w:pPr>
            <w:r>
              <w:rPr>
                <w:rFonts w:hint="eastAsia" w:ascii="仿宋" w:hAnsi="仿宋" w:eastAsia="仿宋" w:cs="仿宋"/>
                <w:kern w:val="0"/>
                <w:sz w:val="22"/>
                <w:lang w:val="en-US" w:eastAsia="zh-CN"/>
              </w:rPr>
              <w:t>982.51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22"/>
              </w:rPr>
            </w:pPr>
            <w:r>
              <w:rPr>
                <w:rFonts w:hint="eastAsia" w:ascii="仿宋" w:hAnsi="仿宋" w:eastAsia="仿宋" w:cs="仿宋"/>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4368.44</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683</w:t>
            </w:r>
            <w:r>
              <w:rPr>
                <w:rFonts w:hint="eastAsia" w:ascii="仿宋" w:hAnsi="仿宋" w:eastAsia="仿宋" w:cs="仿宋"/>
                <w:kern w:val="0"/>
                <w:sz w:val="22"/>
                <w:lang w:eastAsia="zh-CN"/>
              </w:rPr>
              <w:t>.</w:t>
            </w:r>
            <w:r>
              <w:rPr>
                <w:rFonts w:hint="eastAsia" w:ascii="仿宋" w:hAnsi="仿宋" w:eastAsia="仿宋" w:cs="仿宋"/>
                <w:kern w:val="0"/>
                <w:sz w:val="22"/>
              </w:rPr>
              <w:t>2</w:t>
            </w:r>
            <w:r>
              <w:rPr>
                <w:rFonts w:hint="eastAsia" w:ascii="仿宋" w:hAnsi="仿宋" w:eastAsia="仿宋" w:cs="仿宋"/>
                <w:kern w:val="0"/>
                <w:sz w:val="22"/>
                <w:lang w:val="en-US" w:eastAsia="zh-CN"/>
              </w:rPr>
              <w:t>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22"/>
              </w:rPr>
            </w:pPr>
            <w:r>
              <w:rPr>
                <w:rFonts w:hint="eastAsia" w:ascii="仿宋" w:hAnsi="仿宋" w:eastAsia="仿宋" w:cs="仿宋"/>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3694.08</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523</w:t>
            </w:r>
            <w:r>
              <w:rPr>
                <w:rFonts w:hint="eastAsia" w:ascii="仿宋" w:hAnsi="仿宋" w:eastAsia="仿宋" w:cs="仿宋"/>
                <w:kern w:val="0"/>
                <w:sz w:val="22"/>
                <w:lang w:eastAsia="zh-CN"/>
              </w:rPr>
              <w:t>.</w:t>
            </w:r>
            <w:r>
              <w:rPr>
                <w:rFonts w:hint="eastAsia" w:ascii="仿宋" w:hAnsi="仿宋" w:eastAsia="仿宋" w:cs="仿宋"/>
                <w:kern w:val="0"/>
                <w:sz w:val="22"/>
              </w:rPr>
              <w:t>8</w:t>
            </w:r>
            <w:r>
              <w:rPr>
                <w:rFonts w:hint="eastAsia" w:ascii="仿宋" w:hAnsi="仿宋" w:eastAsia="仿宋" w:cs="仿宋"/>
                <w:kern w:val="0"/>
                <w:sz w:val="22"/>
                <w:lang w:val="en-US" w:eastAsia="zh-CN"/>
              </w:rPr>
              <w:t>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22"/>
              </w:rPr>
            </w:pPr>
            <w:r>
              <w:rPr>
                <w:rFonts w:hint="eastAsia" w:ascii="仿宋" w:hAnsi="仿宋" w:eastAsia="仿宋" w:cs="仿宋"/>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7</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66</w:t>
            </w:r>
            <w:r>
              <w:rPr>
                <w:rFonts w:hint="eastAsia" w:ascii="仿宋" w:hAnsi="仿宋" w:eastAsia="仿宋" w:cs="仿宋"/>
                <w:kern w:val="0"/>
                <w:sz w:val="22"/>
                <w:lang w:eastAsia="zh-CN"/>
              </w:rPr>
              <w:t>.</w:t>
            </w:r>
            <w:r>
              <w:rPr>
                <w:rFonts w:hint="eastAsia" w:ascii="仿宋" w:hAnsi="仿宋" w:eastAsia="仿宋" w:cs="仿宋"/>
                <w:kern w:val="0"/>
                <w:sz w:val="22"/>
              </w:rPr>
              <w:t>42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22"/>
              </w:rPr>
            </w:pPr>
            <w:r>
              <w:rPr>
                <w:rFonts w:hint="eastAsia" w:ascii="仿宋" w:hAnsi="仿宋" w:eastAsia="仿宋" w:cs="仿宋"/>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kern w:val="0"/>
                <w:sz w:val="22"/>
              </w:rPr>
            </w:pPr>
            <w:r>
              <w:rPr>
                <w:rFonts w:hint="eastAsia" w:ascii="仿宋" w:hAnsi="仿宋" w:eastAsia="仿宋" w:cs="仿宋"/>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232</w:t>
            </w:r>
            <w:r>
              <w:rPr>
                <w:rFonts w:hint="eastAsia" w:ascii="仿宋" w:hAnsi="仿宋" w:eastAsia="仿宋" w:cs="仿宋"/>
                <w:kern w:val="0"/>
                <w:sz w:val="22"/>
                <w:lang w:eastAsia="zh-CN"/>
              </w:rPr>
              <w:t>.</w:t>
            </w:r>
            <w:r>
              <w:rPr>
                <w:rFonts w:hint="eastAsia" w:ascii="仿宋" w:hAnsi="仿宋" w:eastAsia="仿宋" w:cs="仿宋"/>
                <w:kern w:val="0"/>
                <w:sz w:val="22"/>
              </w:rPr>
              <w:t>8</w:t>
            </w:r>
            <w:r>
              <w:rPr>
                <w:rFonts w:hint="eastAsia" w:ascii="仿宋" w:hAnsi="仿宋" w:eastAsia="仿宋" w:cs="仿宋"/>
                <w:kern w:val="0"/>
                <w:sz w:val="22"/>
                <w:lang w:val="en-US" w:eastAsia="zh-CN"/>
              </w:rPr>
              <w:t>6</w:t>
            </w:r>
          </w:p>
        </w:tc>
      </w:tr>
    </w:tbl>
    <w:p>
      <w:pPr>
        <w:ind w:firstLine="640"/>
        <w:rPr>
          <w:rFonts w:hint="eastAsia" w:ascii="宋体" w:hAnsi="宋体" w:eastAsia="宋体" w:cs="宋体"/>
          <w:b/>
          <w:bCs/>
          <w:sz w:val="32"/>
          <w:szCs w:val="32"/>
        </w:rPr>
      </w:pPr>
    </w:p>
    <w:p>
      <w:pPr>
        <w:ind w:firstLine="640"/>
        <w:rPr>
          <w:rFonts w:hint="eastAsia" w:ascii="宋体" w:hAnsi="宋体" w:eastAsia="宋体" w:cs="宋体"/>
          <w:b/>
          <w:bCs/>
          <w:sz w:val="32"/>
          <w:szCs w:val="32"/>
        </w:rPr>
      </w:pPr>
      <w:r>
        <w:rPr>
          <w:rFonts w:hint="eastAsia" w:ascii="宋体" w:hAnsi="宋体" w:eastAsia="宋体" w:cs="宋体"/>
          <w:b/>
          <w:bCs/>
          <w:sz w:val="32"/>
          <w:szCs w:val="32"/>
        </w:rPr>
        <w:t>八、名词解释</w:t>
      </w:r>
    </w:p>
    <w:p>
      <w:pPr>
        <w:pStyle w:val="10"/>
        <w:ind w:firstLine="643" w:firstLineChars="200"/>
        <w:rPr>
          <w:rFonts w:ascii="仿宋" w:hAnsi="仿宋" w:eastAsia="仿宋"/>
          <w:b/>
          <w:bCs/>
          <w:sz w:val="32"/>
          <w:szCs w:val="32"/>
        </w:rPr>
      </w:pPr>
      <w:r>
        <w:rPr>
          <w:rFonts w:hint="eastAsia" w:ascii="仿宋" w:hAnsi="仿宋" w:eastAsia="仿宋"/>
          <w:b/>
          <w:bCs/>
          <w:sz w:val="32"/>
          <w:szCs w:val="32"/>
        </w:rPr>
        <w:t>1</w:t>
      </w:r>
      <w:r>
        <w:rPr>
          <w:rFonts w:hint="eastAsia" w:ascii="仿宋" w:hAnsi="仿宋" w:eastAsia="仿宋" w:cs="FZFangSong-Z02"/>
          <w:sz w:val="32"/>
          <w:szCs w:val="32"/>
        </w:rPr>
        <w:t>、一般公共预算拨款收入：指市级财政当年拨付的资金。</w:t>
      </w:r>
    </w:p>
    <w:p>
      <w:pPr>
        <w:pStyle w:val="10"/>
        <w:rPr>
          <w:rFonts w:ascii="仿宋" w:hAnsi="仿宋" w:eastAsia="仿宋" w:cs="FZFangSong-Z02"/>
          <w:sz w:val="32"/>
          <w:szCs w:val="32"/>
        </w:rPr>
      </w:pPr>
      <w:r>
        <w:rPr>
          <w:rFonts w:hint="eastAsia" w:ascii="仿宋" w:hAnsi="仿宋" w:eastAsia="仿宋"/>
          <w:b/>
          <w:bCs/>
          <w:sz w:val="32"/>
          <w:szCs w:val="32"/>
        </w:rPr>
        <w:t xml:space="preserve">    2</w:t>
      </w:r>
      <w:r>
        <w:rPr>
          <w:rFonts w:hint="eastAsia" w:ascii="仿宋" w:hAnsi="仿宋" w:eastAsia="仿宋" w:cs="FZFangSong-Z02"/>
          <w:sz w:val="32"/>
          <w:szCs w:val="32"/>
        </w:rPr>
        <w:t>、事业收入：指事业单位开展专业业务活动及辅助活动所取得的收入。</w:t>
      </w:r>
    </w:p>
    <w:p>
      <w:pPr>
        <w:pStyle w:val="10"/>
        <w:rPr>
          <w:rFonts w:ascii="仿宋" w:hAnsi="仿宋" w:eastAsia="仿宋" w:cs="FZFangSong-Z02"/>
          <w:sz w:val="32"/>
          <w:szCs w:val="32"/>
        </w:rPr>
      </w:pPr>
      <w:r>
        <w:rPr>
          <w:rFonts w:hint="eastAsia" w:ascii="仿宋" w:hAnsi="仿宋" w:eastAsia="仿宋"/>
          <w:b/>
          <w:bCs/>
          <w:sz w:val="32"/>
          <w:szCs w:val="32"/>
        </w:rPr>
        <w:t xml:space="preserve">    3</w:t>
      </w:r>
      <w:r>
        <w:rPr>
          <w:rFonts w:hint="eastAsia" w:ascii="仿宋" w:hAnsi="仿宋" w:eastAsia="仿宋" w:cs="FZFangSong-Z02"/>
          <w:sz w:val="32"/>
          <w:szCs w:val="32"/>
        </w:rPr>
        <w:t>、其他收入：指除上述</w:t>
      </w:r>
      <w:r>
        <w:rPr>
          <w:rFonts w:hint="eastAsia" w:ascii="仿宋" w:hAnsi="仿宋" w:eastAsia="仿宋"/>
          <w:sz w:val="32"/>
          <w:szCs w:val="32"/>
        </w:rPr>
        <w:t>“</w:t>
      </w:r>
      <w:r>
        <w:rPr>
          <w:rFonts w:hint="eastAsia" w:ascii="仿宋" w:hAnsi="仿宋" w:eastAsia="仿宋" w:cs="FZFangSong-Z02"/>
          <w:sz w:val="32"/>
          <w:szCs w:val="32"/>
        </w:rPr>
        <w:t>财政拨款收入</w:t>
      </w:r>
      <w:r>
        <w:rPr>
          <w:rFonts w:hint="eastAsia" w:ascii="仿宋" w:hAnsi="仿宋" w:eastAsia="仿宋"/>
          <w:sz w:val="32"/>
          <w:szCs w:val="32"/>
        </w:rPr>
        <w:t>”</w:t>
      </w:r>
      <w:r>
        <w:rPr>
          <w:rFonts w:hint="eastAsia" w:ascii="仿宋" w:hAnsi="仿宋" w:eastAsia="仿宋" w:cs="FZFangSong-Z02"/>
          <w:sz w:val="32"/>
          <w:szCs w:val="32"/>
        </w:rPr>
        <w:t>、</w:t>
      </w:r>
      <w:r>
        <w:rPr>
          <w:rFonts w:hint="eastAsia" w:ascii="仿宋" w:hAnsi="仿宋" w:eastAsia="仿宋"/>
          <w:sz w:val="32"/>
          <w:szCs w:val="32"/>
        </w:rPr>
        <w:t>“</w:t>
      </w:r>
      <w:r>
        <w:rPr>
          <w:rFonts w:hint="eastAsia" w:ascii="仿宋" w:hAnsi="仿宋" w:eastAsia="仿宋" w:cs="FZFangSong-Z02"/>
          <w:sz w:val="32"/>
          <w:szCs w:val="32"/>
        </w:rPr>
        <w:t>事业收入</w:t>
      </w:r>
      <w:r>
        <w:rPr>
          <w:rFonts w:hint="eastAsia" w:ascii="仿宋" w:hAnsi="仿宋" w:eastAsia="仿宋"/>
          <w:sz w:val="32"/>
          <w:szCs w:val="32"/>
        </w:rPr>
        <w:t>”</w:t>
      </w:r>
      <w:r>
        <w:rPr>
          <w:rFonts w:hint="eastAsia" w:ascii="仿宋" w:hAnsi="仿宋" w:eastAsia="仿宋" w:cs="FZFangSong-Z02"/>
          <w:sz w:val="32"/>
          <w:szCs w:val="32"/>
        </w:rPr>
        <w:t>等以外的收入。主要是按规定动用的租房收入、存款利息收入等。</w:t>
      </w:r>
    </w:p>
    <w:p>
      <w:pPr>
        <w:pStyle w:val="10"/>
        <w:rPr>
          <w:rFonts w:ascii="仿宋" w:hAnsi="仿宋" w:eastAsia="仿宋" w:cs="FZFangSong-Z02"/>
          <w:sz w:val="32"/>
          <w:szCs w:val="32"/>
        </w:rPr>
      </w:pPr>
      <w:r>
        <w:rPr>
          <w:rFonts w:hint="eastAsia" w:ascii="仿宋" w:hAnsi="仿宋" w:eastAsia="仿宋"/>
          <w:b/>
          <w:bCs/>
          <w:sz w:val="32"/>
          <w:szCs w:val="32"/>
        </w:rPr>
        <w:t xml:space="preserve">    4</w:t>
      </w:r>
      <w:r>
        <w:rPr>
          <w:rFonts w:hint="eastAsia" w:ascii="仿宋" w:hAnsi="仿宋" w:eastAsia="仿宋" w:cs="FZFangSong-Z02"/>
          <w:sz w:val="32"/>
          <w:szCs w:val="32"/>
        </w:rPr>
        <w:t>、基本支出：</w:t>
      </w:r>
      <w:r>
        <w:rPr>
          <w:rFonts w:hint="eastAsia" w:ascii="仿宋" w:hAnsi="仿宋" w:eastAsia="仿宋"/>
          <w:sz w:val="32"/>
          <w:szCs w:val="32"/>
        </w:rPr>
        <w:t>指为保障机构正常运转、完成日常工作任务而发生的人员支出和公用支出。</w:t>
      </w:r>
    </w:p>
    <w:p>
      <w:pPr>
        <w:rPr>
          <w:rFonts w:ascii="仿宋" w:hAnsi="仿宋" w:eastAsia="仿宋"/>
          <w:sz w:val="32"/>
          <w:szCs w:val="32"/>
        </w:rPr>
      </w:pPr>
      <w:r>
        <w:rPr>
          <w:rFonts w:hint="eastAsia" w:ascii="仿宋" w:hAnsi="仿宋" w:eastAsia="仿宋"/>
          <w:b/>
          <w:bCs/>
          <w:sz w:val="32"/>
          <w:szCs w:val="32"/>
        </w:rPr>
        <w:t xml:space="preserve">    5</w:t>
      </w:r>
      <w:r>
        <w:rPr>
          <w:rFonts w:hint="eastAsia" w:ascii="仿宋" w:hAnsi="仿宋" w:eastAsia="仿宋" w:cs="FZFangSong-Z02"/>
          <w:sz w:val="32"/>
          <w:szCs w:val="32"/>
        </w:rPr>
        <w:t>、项目支出：</w:t>
      </w:r>
      <w:r>
        <w:rPr>
          <w:rFonts w:hint="eastAsia" w:ascii="仿宋" w:hAnsi="仿宋" w:eastAsia="仿宋"/>
          <w:sz w:val="32"/>
          <w:szCs w:val="32"/>
        </w:rPr>
        <w:t>指在基本支出之外为完成特定行政任务和事业发展目标所发生的支出。</w:t>
      </w:r>
    </w:p>
    <w:p>
      <w:pPr>
        <w:pStyle w:val="10"/>
        <w:rPr>
          <w:rFonts w:ascii="仿宋" w:hAnsi="仿宋" w:eastAsia="仿宋"/>
          <w:sz w:val="32"/>
          <w:szCs w:val="32"/>
        </w:rPr>
      </w:pPr>
      <w:r>
        <w:rPr>
          <w:rFonts w:hint="eastAsia" w:ascii="仿宋" w:hAnsi="仿宋" w:eastAsia="仿宋"/>
          <w:b/>
          <w:bCs/>
          <w:sz w:val="32"/>
          <w:szCs w:val="32"/>
        </w:rPr>
        <w:t xml:space="preserve">    6</w:t>
      </w:r>
      <w:r>
        <w:rPr>
          <w:rFonts w:hint="eastAsia" w:ascii="仿宋" w:hAnsi="仿宋" w:eastAsia="仿宋" w:cs="FZFangSong-Z02"/>
          <w:sz w:val="32"/>
          <w:szCs w:val="32"/>
        </w:rPr>
        <w:t>、上缴上级支出：</w:t>
      </w:r>
      <w:r>
        <w:rPr>
          <w:rFonts w:hint="eastAsia" w:ascii="仿宋" w:hAnsi="仿宋" w:eastAsia="仿宋"/>
          <w:sz w:val="32"/>
          <w:szCs w:val="32"/>
        </w:rPr>
        <w:t>指下级单位上缴上级的支出。</w:t>
      </w:r>
    </w:p>
    <w:p>
      <w:pPr>
        <w:pStyle w:val="10"/>
        <w:rPr>
          <w:rFonts w:ascii="仿宋" w:hAnsi="仿宋" w:eastAsia="仿宋" w:cs="FZFangSong-Z02"/>
          <w:sz w:val="32"/>
          <w:szCs w:val="32"/>
        </w:rPr>
      </w:pPr>
      <w:r>
        <w:rPr>
          <w:rFonts w:hint="eastAsia" w:ascii="仿宋" w:hAnsi="仿宋" w:eastAsia="仿宋"/>
          <w:b/>
          <w:bCs/>
          <w:sz w:val="32"/>
          <w:szCs w:val="32"/>
        </w:rPr>
        <w:t xml:space="preserve">    7</w:t>
      </w:r>
      <w:r>
        <w:rPr>
          <w:rFonts w:hint="eastAsia" w:ascii="仿宋" w:hAnsi="仿宋" w:eastAsia="仿宋" w:cs="FZFangSong-Z02"/>
          <w:sz w:val="32"/>
          <w:szCs w:val="32"/>
        </w:rPr>
        <w:t>、</w:t>
      </w:r>
      <w:r>
        <w:rPr>
          <w:rFonts w:hint="eastAsia" w:ascii="仿宋" w:hAnsi="仿宋" w:eastAsia="仿宋"/>
          <w:b/>
          <w:bCs/>
          <w:sz w:val="32"/>
          <w:szCs w:val="32"/>
        </w:rPr>
        <w:t>“</w:t>
      </w:r>
      <w:r>
        <w:rPr>
          <w:rFonts w:hint="eastAsia" w:ascii="仿宋" w:hAnsi="仿宋" w:eastAsia="仿宋" w:cs="FZFangSong-Z02"/>
          <w:sz w:val="32"/>
          <w:szCs w:val="32"/>
        </w:rPr>
        <w:t>三公</w:t>
      </w:r>
      <w:r>
        <w:rPr>
          <w:rFonts w:hint="eastAsia" w:ascii="仿宋" w:hAnsi="仿宋" w:eastAsia="仿宋"/>
          <w:b/>
          <w:bCs/>
          <w:sz w:val="32"/>
          <w:szCs w:val="32"/>
        </w:rPr>
        <w:t>”</w:t>
      </w:r>
      <w:r>
        <w:rPr>
          <w:rFonts w:hint="eastAsia" w:ascii="仿宋" w:hAnsi="仿宋" w:eastAsia="仿宋" w:cs="FZFangSong-Z02"/>
          <w:sz w:val="32"/>
          <w:szCs w:val="32"/>
        </w:rPr>
        <w:t>经费：纳入市级财政预算管理的</w:t>
      </w:r>
      <w:r>
        <w:rPr>
          <w:rFonts w:hint="eastAsia" w:ascii="仿宋" w:hAnsi="仿宋" w:eastAsia="仿宋"/>
          <w:sz w:val="32"/>
          <w:szCs w:val="32"/>
        </w:rPr>
        <w:t>“</w:t>
      </w:r>
      <w:r>
        <w:rPr>
          <w:rFonts w:hint="eastAsia" w:ascii="仿宋" w:hAnsi="仿宋" w:eastAsia="仿宋" w:cs="FZFangSong-Z02"/>
          <w:sz w:val="32"/>
          <w:szCs w:val="32"/>
        </w:rPr>
        <w:t>三公</w:t>
      </w:r>
      <w:r>
        <w:rPr>
          <w:rFonts w:hint="eastAsia" w:ascii="仿宋" w:hAnsi="仿宋" w:eastAsia="仿宋"/>
          <w:sz w:val="32"/>
          <w:szCs w:val="32"/>
        </w:rPr>
        <w:t>”</w:t>
      </w:r>
      <w:r>
        <w:rPr>
          <w:rFonts w:hint="eastAsia" w:ascii="仿宋" w:hAnsi="仿宋" w:eastAsia="仿宋"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hAnsi="仿宋" w:eastAsia="仿宋" w:cs="FZFangSong-Z02"/>
          <w:sz w:val="32"/>
          <w:szCs w:val="32"/>
        </w:rPr>
      </w:pPr>
      <w:r>
        <w:rPr>
          <w:rFonts w:hint="eastAsia" w:ascii="仿宋" w:hAnsi="仿宋" w:eastAsia="仿宋"/>
          <w:b/>
          <w:bCs/>
          <w:sz w:val="32"/>
          <w:szCs w:val="32"/>
        </w:rPr>
        <w:t xml:space="preserve">    8</w:t>
      </w:r>
      <w:r>
        <w:rPr>
          <w:rFonts w:hint="eastAsia" w:ascii="仿宋" w:hAnsi="仿宋" w:eastAsia="仿宋"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 w:hAnsi="仿宋" w:eastAsia="仿宋"/>
          <w:sz w:val="32"/>
          <w:szCs w:val="32"/>
        </w:rPr>
        <w:t>其他费用。</w:t>
      </w:r>
    </w:p>
    <w:p>
      <w:pPr>
        <w:ind w:firstLine="640"/>
        <w:rPr>
          <w:rFonts w:hint="eastAsia" w:ascii="宋体" w:hAnsi="宋体" w:eastAsia="宋体" w:cs="宋体"/>
          <w:b/>
          <w:bCs/>
          <w:sz w:val="32"/>
          <w:szCs w:val="32"/>
        </w:rPr>
      </w:pPr>
      <w:r>
        <w:rPr>
          <w:rFonts w:hint="eastAsia" w:ascii="宋体" w:hAnsi="宋体" w:eastAsia="宋体" w:cs="宋体"/>
          <w:b/>
          <w:bCs/>
          <w:sz w:val="32"/>
          <w:szCs w:val="32"/>
        </w:rPr>
        <w:t>九、其它需要说明的事项</w:t>
      </w:r>
    </w:p>
    <w:p>
      <w:pPr>
        <w:tabs>
          <w:tab w:val="left" w:pos="11490"/>
        </w:tabs>
        <w:ind w:firstLine="640" w:firstLineChars="200"/>
        <w:rPr>
          <w:rFonts w:hint="eastAsia" w:ascii="仿宋" w:hAnsi="仿宋" w:eastAsia="仿宋" w:cs="仿宋"/>
          <w:sz w:val="32"/>
          <w:szCs w:val="32"/>
        </w:rPr>
      </w:pPr>
      <w:r>
        <w:rPr>
          <w:rFonts w:hint="eastAsia" w:ascii="仿宋" w:hAnsi="仿宋" w:eastAsia="仿宋" w:cs="仿宋"/>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方正楷体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Lucida Sans">
    <w:panose1 w:val="020B0602030504020204"/>
    <w:charset w:val="00"/>
    <w:family w:val="auto"/>
    <w:pitch w:val="default"/>
    <w:sig w:usb0="00000003" w:usb1="00000000" w:usb2="00000000" w:usb3="00000000" w:csb0="20000001" w:csb1="00000000"/>
  </w:font>
  <w:font w:name="Shruti">
    <w:altName w:val="Segoe UI Symbol"/>
    <w:panose1 w:val="020B0502040204020203"/>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FZFangSong-Z02">
    <w:altName w:val="Arial"/>
    <w:panose1 w:val="00000000000000000000"/>
    <w:charset w:val="00"/>
    <w:family w:val="swiss"/>
    <w:pitch w:val="default"/>
    <w:sig w:usb0="00000000" w:usb1="0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AA1"/>
    <w:rsid w:val="00037AF6"/>
    <w:rsid w:val="00045A61"/>
    <w:rsid w:val="00062DD6"/>
    <w:rsid w:val="000650DE"/>
    <w:rsid w:val="000751CD"/>
    <w:rsid w:val="00075D5F"/>
    <w:rsid w:val="00093D80"/>
    <w:rsid w:val="000A63E7"/>
    <w:rsid w:val="000B04B5"/>
    <w:rsid w:val="000C3A19"/>
    <w:rsid w:val="001245BB"/>
    <w:rsid w:val="00125FBB"/>
    <w:rsid w:val="0018479D"/>
    <w:rsid w:val="00203698"/>
    <w:rsid w:val="00223272"/>
    <w:rsid w:val="00241FD4"/>
    <w:rsid w:val="0024465C"/>
    <w:rsid w:val="00246DD9"/>
    <w:rsid w:val="002508C4"/>
    <w:rsid w:val="00251B12"/>
    <w:rsid w:val="00261354"/>
    <w:rsid w:val="002645FB"/>
    <w:rsid w:val="00296113"/>
    <w:rsid w:val="002C200A"/>
    <w:rsid w:val="002D1476"/>
    <w:rsid w:val="002D4AF7"/>
    <w:rsid w:val="002F3E58"/>
    <w:rsid w:val="0030542C"/>
    <w:rsid w:val="00311B7A"/>
    <w:rsid w:val="00332ABC"/>
    <w:rsid w:val="003A094E"/>
    <w:rsid w:val="003E1A7F"/>
    <w:rsid w:val="003F49E7"/>
    <w:rsid w:val="00451871"/>
    <w:rsid w:val="00472923"/>
    <w:rsid w:val="00497870"/>
    <w:rsid w:val="004B37C2"/>
    <w:rsid w:val="004E3066"/>
    <w:rsid w:val="004E74CD"/>
    <w:rsid w:val="004F6123"/>
    <w:rsid w:val="00520CEC"/>
    <w:rsid w:val="005632E5"/>
    <w:rsid w:val="00573562"/>
    <w:rsid w:val="00595C93"/>
    <w:rsid w:val="005C1AEB"/>
    <w:rsid w:val="006009A1"/>
    <w:rsid w:val="00614A29"/>
    <w:rsid w:val="00646686"/>
    <w:rsid w:val="006D6C8A"/>
    <w:rsid w:val="007323EB"/>
    <w:rsid w:val="0075393C"/>
    <w:rsid w:val="00757221"/>
    <w:rsid w:val="00776C08"/>
    <w:rsid w:val="007A1524"/>
    <w:rsid w:val="007B2D87"/>
    <w:rsid w:val="007B4EE0"/>
    <w:rsid w:val="007E1DA8"/>
    <w:rsid w:val="007F1DCF"/>
    <w:rsid w:val="007F6C26"/>
    <w:rsid w:val="007F7075"/>
    <w:rsid w:val="008334AE"/>
    <w:rsid w:val="00836FED"/>
    <w:rsid w:val="00845CD2"/>
    <w:rsid w:val="008502D8"/>
    <w:rsid w:val="00852B0D"/>
    <w:rsid w:val="00881692"/>
    <w:rsid w:val="008B3CC5"/>
    <w:rsid w:val="008C2BAF"/>
    <w:rsid w:val="008E4261"/>
    <w:rsid w:val="008F4662"/>
    <w:rsid w:val="00905D08"/>
    <w:rsid w:val="00925753"/>
    <w:rsid w:val="00927B0B"/>
    <w:rsid w:val="009668BA"/>
    <w:rsid w:val="00966C5C"/>
    <w:rsid w:val="00967BB9"/>
    <w:rsid w:val="00973104"/>
    <w:rsid w:val="009C119B"/>
    <w:rsid w:val="00A34D76"/>
    <w:rsid w:val="00A72D2E"/>
    <w:rsid w:val="00A911E7"/>
    <w:rsid w:val="00A939D9"/>
    <w:rsid w:val="00AA71ED"/>
    <w:rsid w:val="00AF6B63"/>
    <w:rsid w:val="00B043C4"/>
    <w:rsid w:val="00B20712"/>
    <w:rsid w:val="00B43238"/>
    <w:rsid w:val="00B75216"/>
    <w:rsid w:val="00B91D52"/>
    <w:rsid w:val="00BA1ACD"/>
    <w:rsid w:val="00BA408B"/>
    <w:rsid w:val="00C24BF5"/>
    <w:rsid w:val="00C8569A"/>
    <w:rsid w:val="00CA7176"/>
    <w:rsid w:val="00CD2773"/>
    <w:rsid w:val="00CE143B"/>
    <w:rsid w:val="00CE403B"/>
    <w:rsid w:val="00D361CD"/>
    <w:rsid w:val="00D80DB8"/>
    <w:rsid w:val="00DA2FDB"/>
    <w:rsid w:val="00E167C7"/>
    <w:rsid w:val="00E84FEB"/>
    <w:rsid w:val="00EC47F6"/>
    <w:rsid w:val="00EE1B43"/>
    <w:rsid w:val="00F153EF"/>
    <w:rsid w:val="00F50E15"/>
    <w:rsid w:val="00F61055"/>
    <w:rsid w:val="00F66032"/>
    <w:rsid w:val="00F958C2"/>
    <w:rsid w:val="00FB4CD3"/>
    <w:rsid w:val="00FC6357"/>
    <w:rsid w:val="00FD2081"/>
    <w:rsid w:val="00FE3D85"/>
    <w:rsid w:val="073B7E09"/>
    <w:rsid w:val="076E104F"/>
    <w:rsid w:val="08AD1B65"/>
    <w:rsid w:val="12F503B3"/>
    <w:rsid w:val="1A740CB2"/>
    <w:rsid w:val="2BFF767A"/>
    <w:rsid w:val="30D8786D"/>
    <w:rsid w:val="32756E61"/>
    <w:rsid w:val="327A53EE"/>
    <w:rsid w:val="37AF33BA"/>
    <w:rsid w:val="3EBE48ED"/>
    <w:rsid w:val="3F1B7133"/>
    <w:rsid w:val="492E0B5E"/>
    <w:rsid w:val="4E8F45FA"/>
    <w:rsid w:val="51B55CB8"/>
    <w:rsid w:val="54FF4412"/>
    <w:rsid w:val="5A443759"/>
    <w:rsid w:val="5AE851F7"/>
    <w:rsid w:val="63072F56"/>
    <w:rsid w:val="634B5530"/>
    <w:rsid w:val="6C586E75"/>
    <w:rsid w:val="70B70615"/>
    <w:rsid w:val="76D5143F"/>
    <w:rsid w:val="7DB66E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D847B-333C-49AF-9F24-2CAA01C90906}">
  <ds:schemaRefs/>
</ds:datastoreItem>
</file>

<file path=docProps/app.xml><?xml version="1.0" encoding="utf-8"?>
<Properties xmlns="http://schemas.openxmlformats.org/officeDocument/2006/extended-properties" xmlns:vt="http://schemas.openxmlformats.org/officeDocument/2006/docPropsVTypes">
  <Template>Normal</Template>
  <Pages>7</Pages>
  <Words>316</Words>
  <Characters>1804</Characters>
  <Lines>15</Lines>
  <Paragraphs>4</Paragraphs>
  <ScaleCrop>false</ScaleCrop>
  <LinksUpToDate>false</LinksUpToDate>
  <CharactersWithSpaces>2116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lenovo</cp:lastModifiedBy>
  <dcterms:modified xsi:type="dcterms:W3CDTF">2017-04-01T07:38:37Z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